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940E" w14:textId="77777777" w:rsidR="00235DDB" w:rsidRPr="00062BCA" w:rsidRDefault="00235DDB" w:rsidP="00235DDB">
      <w:pPr>
        <w:spacing w:after="0" w:line="240" w:lineRule="auto"/>
        <w:jc w:val="center"/>
        <w:rPr>
          <w:rFonts w:ascii="Times New Roman" w:eastAsia="Times New Roman" w:hAnsi="Times New Roman" w:cs="Times New Roman"/>
          <w:b/>
          <w:kern w:val="0"/>
          <w:sz w:val="28"/>
          <w:szCs w:val="28"/>
          <w14:ligatures w14:val="none"/>
        </w:rPr>
      </w:pPr>
      <w:r w:rsidRPr="00062BCA">
        <w:rPr>
          <w:rFonts w:ascii="Times New Roman" w:eastAsia="Times New Roman" w:hAnsi="Times New Roman" w:cs="Times New Roman"/>
          <w:b/>
          <w:kern w:val="0"/>
          <w:sz w:val="28"/>
          <w:szCs w:val="28"/>
          <w14:ligatures w14:val="none"/>
        </w:rPr>
        <w:t>TERMS OF REFERENCE</w:t>
      </w:r>
    </w:p>
    <w:p w14:paraId="70F3C409" w14:textId="77777777" w:rsidR="00235DDB" w:rsidRPr="00062BCA" w:rsidRDefault="00235DDB" w:rsidP="00235DDB">
      <w:pPr>
        <w:spacing w:after="0" w:line="240" w:lineRule="auto"/>
        <w:jc w:val="center"/>
        <w:rPr>
          <w:rFonts w:ascii="Times New Roman" w:eastAsia="Times New Roman" w:hAnsi="Times New Roman" w:cs="Times New Roman"/>
          <w:b/>
          <w:kern w:val="0"/>
          <w:sz w:val="28"/>
          <w:szCs w:val="28"/>
          <w14:ligatures w14:val="none"/>
        </w:rPr>
      </w:pPr>
      <w:r w:rsidRPr="00062BCA">
        <w:rPr>
          <w:rFonts w:ascii="Times New Roman" w:eastAsia="Times New Roman" w:hAnsi="Times New Roman" w:cs="Times New Roman"/>
          <w:b/>
          <w:kern w:val="0"/>
          <w:sz w:val="28"/>
          <w:szCs w:val="28"/>
          <w14:ligatures w14:val="none"/>
        </w:rPr>
        <w:t>for</w:t>
      </w:r>
    </w:p>
    <w:p w14:paraId="52B47D49" w14:textId="77777777" w:rsidR="00235DDB" w:rsidRPr="00062BCA" w:rsidRDefault="00235DDB" w:rsidP="00235DDB">
      <w:pPr>
        <w:spacing w:after="360" w:line="240" w:lineRule="auto"/>
        <w:jc w:val="center"/>
        <w:rPr>
          <w:rFonts w:ascii="Times New Roman" w:eastAsia="Times New Roman" w:hAnsi="Times New Roman" w:cs="Times New Roman"/>
          <w:b/>
          <w:kern w:val="0"/>
          <w:sz w:val="28"/>
          <w:szCs w:val="28"/>
          <w14:ligatures w14:val="none"/>
        </w:rPr>
      </w:pPr>
      <w:r w:rsidRPr="00062BCA">
        <w:rPr>
          <w:rFonts w:ascii="Times New Roman" w:eastAsia="Times New Roman" w:hAnsi="Times New Roman" w:cs="Times New Roman"/>
          <w:b/>
          <w:kern w:val="0"/>
          <w:sz w:val="28"/>
          <w:szCs w:val="28"/>
          <w14:ligatures w14:val="none"/>
        </w:rPr>
        <w:t>Digital Caravan Across Serbia – Toward People Centered Services</w:t>
      </w:r>
    </w:p>
    <w:p w14:paraId="713748A3" w14:textId="77777777" w:rsidR="00235DDB" w:rsidRPr="00062BCA" w:rsidRDefault="00235DDB" w:rsidP="00235DDB">
      <w:pPr>
        <w:pStyle w:val="Heading1"/>
      </w:pPr>
      <w:r w:rsidRPr="00062BCA">
        <w:t>Background Information</w:t>
      </w:r>
    </w:p>
    <w:p w14:paraId="70EA7D5D"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6ED84534"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79E3D5CC" w14:textId="77777777" w:rsidR="00235DDB" w:rsidRPr="00062BCA" w:rsidRDefault="00235DDB" w:rsidP="00235DDB">
      <w:pPr>
        <w:jc w:val="both"/>
        <w:rPr>
          <w:rFonts w:ascii="Times New Roman" w:hAnsi="Times New Roman" w:cs="Times New Roman"/>
          <w:color w:val="000000"/>
        </w:rPr>
      </w:pPr>
      <w:r w:rsidRPr="00062BCA">
        <w:rPr>
          <w:rFonts w:ascii="Times New Roman" w:hAnsi="Times New Roman" w:cs="Times New Roman"/>
          <w:color w:val="000000"/>
        </w:rPr>
        <w:t xml:space="preserve">In addition, the Government of Serbia has requested assistance </w:t>
      </w:r>
      <w:r w:rsidRPr="00062BCA">
        <w:rPr>
          <w:rFonts w:ascii="Times New Roman" w:hAnsi="Times New Roman" w:cs="Times New Roman"/>
        </w:rPr>
        <w:t>from the</w:t>
      </w:r>
      <w:r w:rsidRPr="00062BCA">
        <w:rPr>
          <w:rFonts w:ascii="Times New Roman" w:hAnsi="Times New Roman" w:cs="Times New Roman"/>
          <w:color w:val="000000"/>
        </w:rPr>
        <w:t xml:space="preserve"> World Bank in supporting the reform efforts, through a loan. To this effect, the World Bank has initiated the Enabling Digital Governance Project (EDGE). The Project, launched back in April 2019, and restructured in June 2024, aims at contributing to development of the digitalization in Serbia, through implementation of the following components:</w:t>
      </w:r>
    </w:p>
    <w:p w14:paraId="348DE154" w14:textId="77777777" w:rsidR="00235DDB" w:rsidRPr="00062BCA" w:rsidRDefault="00235DDB" w:rsidP="00235DDB">
      <w:pPr>
        <w:jc w:val="both"/>
        <w:rPr>
          <w:rFonts w:ascii="Times New Roman" w:hAnsi="Times New Roman" w:cs="Times New Roman"/>
          <w:i/>
        </w:rPr>
      </w:pPr>
      <w:r w:rsidRPr="00062BCA">
        <w:rPr>
          <w:rFonts w:ascii="Times New Roman" w:hAnsi="Times New Roman" w:cs="Times New Roman"/>
          <w:i/>
        </w:rPr>
        <w:t>Component 1: Foundations for Digital Service Delivery</w:t>
      </w:r>
    </w:p>
    <w:p w14:paraId="420A34D9"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1C9A40CD"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i/>
        </w:rPr>
        <w:t>Component 2. Citizen-Centric Digital Services</w:t>
      </w:r>
    </w:p>
    <w:p w14:paraId="64B4B563"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Public Policy Secretariat (PPS) of the Prime Minister’s office.</w:t>
      </w:r>
    </w:p>
    <w:p w14:paraId="039F8AA8" w14:textId="77777777" w:rsidR="00235DDB" w:rsidRPr="00062BCA" w:rsidRDefault="00235DDB" w:rsidP="00235DDB">
      <w:pPr>
        <w:jc w:val="both"/>
        <w:rPr>
          <w:rFonts w:ascii="Times New Roman" w:hAnsi="Times New Roman" w:cs="Times New Roman"/>
          <w:i/>
        </w:rPr>
      </w:pPr>
      <w:r w:rsidRPr="00062BCA">
        <w:rPr>
          <w:rFonts w:ascii="Times New Roman" w:hAnsi="Times New Roman" w:cs="Times New Roman"/>
          <w:i/>
        </w:rPr>
        <w:t>Component 3. Digital Skills Development and Project Management</w:t>
      </w:r>
    </w:p>
    <w:p w14:paraId="1A9713E5"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This component focuses on the integration of change management, communication, and citizen feedback into Component 2.</w:t>
      </w:r>
    </w:p>
    <w:p w14:paraId="30E2E8E5"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For the purposes of effectively managing and coordinating EDGE and future Projects with International Financial Institutions (IFI) financing, the Project Implementation Unit (PIU) has been founded at the OITeG.</w:t>
      </w:r>
    </w:p>
    <w:p w14:paraId="0C0D7595" w14:textId="77777777" w:rsidR="00235DDB" w:rsidRPr="00473901" w:rsidRDefault="00235DDB" w:rsidP="00235DDB">
      <w:pPr>
        <w:jc w:val="both"/>
        <w:rPr>
          <w:rFonts w:ascii="Times New Roman" w:hAnsi="Times New Roman" w:cs="Times New Roman"/>
        </w:rPr>
      </w:pPr>
      <w:r w:rsidRPr="00473901">
        <w:rPr>
          <w:rFonts w:ascii="Times New Roman" w:hAnsi="Times New Roman" w:cs="Times New Roman"/>
        </w:rPr>
        <w:t xml:space="preserve">Digital literacy is a critical challenge for Serbia's transition to a digital economy. Currently, 51% of the Serbian population is considered digitally illiterate, 14.8% are partially literate, and only 34.2% literate. </w:t>
      </w:r>
      <w:r w:rsidRPr="00473901">
        <w:rPr>
          <w:rFonts w:ascii="Times New Roman" w:hAnsi="Times New Roman" w:cs="Times New Roman"/>
        </w:rPr>
        <w:lastRenderedPageBreak/>
        <w:t>This puts Serbia below the average of other OECD countries and the European Union, where about 40% of the population is believed to lack adequate digital skills.</w:t>
      </w:r>
    </w:p>
    <w:p w14:paraId="7B64872D" w14:textId="77777777" w:rsidR="00235DDB" w:rsidRPr="00473901" w:rsidRDefault="00235DDB" w:rsidP="00235DDB">
      <w:pPr>
        <w:jc w:val="both"/>
        <w:rPr>
          <w:rFonts w:ascii="Times New Roman" w:hAnsi="Times New Roman" w:cs="Times New Roman"/>
        </w:rPr>
      </w:pPr>
      <w:r w:rsidRPr="00473901">
        <w:rPr>
          <w:rFonts w:ascii="Times New Roman" w:hAnsi="Times New Roman" w:cs="Times New Roman"/>
        </w:rPr>
        <w:t>A closer look at digital illiteracy in Serbia reveals a gender gap: 54% are women, 45% are men. The 2021 International Telecommunication Union report shows that 78.8% of the female population in Serbia uses the internet, compared to 83.6% of the male population. This digital divide significantly hinders women's use of e-government services, participation in digital education, and pursuit of ICT careers.</w:t>
      </w:r>
    </w:p>
    <w:p w14:paraId="5AA2D670" w14:textId="77777777" w:rsidR="00235DDB" w:rsidRPr="00062BCA" w:rsidRDefault="00235DDB" w:rsidP="00235DDB">
      <w:pPr>
        <w:jc w:val="both"/>
        <w:rPr>
          <w:rFonts w:ascii="Times New Roman" w:hAnsi="Times New Roman" w:cs="Times New Roman"/>
        </w:rPr>
      </w:pPr>
      <w:r w:rsidRPr="00D17FB8">
        <w:rPr>
          <w:rFonts w:ascii="Times New Roman" w:hAnsi="Times New Roman" w:cs="Times New Roman"/>
        </w:rPr>
        <w:t xml:space="preserve">To tackle these challenges in previous period, the Serbian government has initiated an extensive national campaign called the Digital </w:t>
      </w:r>
      <w:bookmarkStart w:id="0" w:name="_Hlk203054321"/>
      <w:r w:rsidRPr="00D17FB8">
        <w:rPr>
          <w:rFonts w:ascii="Times New Roman" w:hAnsi="Times New Roman" w:cs="Times New Roman"/>
        </w:rPr>
        <w:t>Expedition</w:t>
      </w:r>
      <w:bookmarkEnd w:id="0"/>
      <w:r w:rsidRPr="00D17FB8">
        <w:rPr>
          <w:rFonts w:ascii="Times New Roman" w:hAnsi="Times New Roman" w:cs="Times New Roman"/>
        </w:rPr>
        <w:t>, as part of the Digital Skills Development Strategy adopted in 2020. The campaign's goal was to educate the public on utilizing digital government services, engaging in e-commerce, and responsibly using social media. The inaugural Digital Expedition in 2021 reached 24 cities and towns across Serbia, bringing together over 35,000 citizens for one-day workshops and discussions.</w:t>
      </w:r>
    </w:p>
    <w:p w14:paraId="340961BA" w14:textId="77777777" w:rsidR="00235DDB" w:rsidRPr="00062BCA" w:rsidRDefault="00235DDB" w:rsidP="00235DDB">
      <w:pPr>
        <w:pStyle w:val="Heading1"/>
      </w:pPr>
      <w:r w:rsidRPr="00062BCA">
        <w:t>Objectives</w:t>
      </w:r>
    </w:p>
    <w:p w14:paraId="66F6EAA5" w14:textId="77777777" w:rsidR="00235DDB" w:rsidRPr="00473901" w:rsidRDefault="00235DDB" w:rsidP="00235DDB">
      <w:pPr>
        <w:jc w:val="both"/>
        <w:rPr>
          <w:rFonts w:ascii="Times New Roman" w:hAnsi="Times New Roman" w:cs="Times New Roman"/>
        </w:rPr>
      </w:pPr>
      <w:bookmarkStart w:id="1" w:name="_Hlk192023377"/>
      <w:r w:rsidRPr="004E5831">
        <w:rPr>
          <w:rFonts w:ascii="Times New Roman" w:hAnsi="Times New Roman" w:cs="Times New Roman"/>
        </w:rPr>
        <w:t>The primary objective of the activity is to apply an already established approach to digital service development, which—based on lessons learned from the previous Digital Expedition—serves as a foundation for improving specific services, enhancing their effectiveness, reducing exclusion, addressing discrimination, and expanding access to a greater number of citizens</w:t>
      </w:r>
      <w:r w:rsidRPr="00473901">
        <w:rPr>
          <w:rFonts w:ascii="Times New Roman" w:hAnsi="Times New Roman" w:cs="Times New Roman"/>
        </w:rPr>
        <w:t>. </w:t>
      </w:r>
    </w:p>
    <w:p w14:paraId="2994A01F" w14:textId="77777777" w:rsidR="00235DDB" w:rsidRPr="00473901" w:rsidRDefault="00235DDB" w:rsidP="00235DDB">
      <w:pPr>
        <w:jc w:val="both"/>
        <w:rPr>
          <w:rFonts w:ascii="Times New Roman" w:hAnsi="Times New Roman" w:cs="Times New Roman"/>
        </w:rPr>
      </w:pPr>
      <w:r w:rsidRPr="00473901">
        <w:rPr>
          <w:rFonts w:ascii="Times New Roman" w:hAnsi="Times New Roman" w:cs="Times New Roman"/>
        </w:rPr>
        <w:t xml:space="preserve">Building on the success of previous digital upskilling initiatives and aligning with the new people-centric approach, the new intervention will concentrate </w:t>
      </w:r>
      <w:r w:rsidRPr="00A34119">
        <w:rPr>
          <w:rFonts w:ascii="Times New Roman" w:hAnsi="Times New Roman" w:cs="Times New Roman"/>
        </w:rPr>
        <w:t>on two main thematic areas</w:t>
      </w:r>
      <w:r w:rsidRPr="00473901">
        <w:rPr>
          <w:rFonts w:ascii="Times New Roman" w:hAnsi="Times New Roman" w:cs="Times New Roman"/>
        </w:rPr>
        <w:t>:</w:t>
      </w:r>
    </w:p>
    <w:p w14:paraId="45CF997B" w14:textId="77777777" w:rsidR="00235DDB" w:rsidRPr="00473901" w:rsidRDefault="00235DDB" w:rsidP="00235DDB">
      <w:pPr>
        <w:numPr>
          <w:ilvl w:val="0"/>
          <w:numId w:val="4"/>
        </w:numPr>
        <w:spacing w:after="0" w:line="240" w:lineRule="auto"/>
        <w:jc w:val="both"/>
        <w:rPr>
          <w:rFonts w:ascii="Times New Roman" w:hAnsi="Times New Roman" w:cs="Times New Roman"/>
        </w:rPr>
      </w:pPr>
      <w:r w:rsidRPr="3CC51A9E">
        <w:rPr>
          <w:rFonts w:ascii="Times New Roman" w:hAnsi="Times New Roman" w:cs="Times New Roman"/>
          <w:b/>
          <w:bCs/>
        </w:rPr>
        <w:t>Digital Upskilling for Various Community Groups</w:t>
      </w:r>
      <w:r w:rsidRPr="3CC51A9E">
        <w:rPr>
          <w:rFonts w:ascii="Times New Roman" w:hAnsi="Times New Roman" w:cs="Times New Roman"/>
        </w:rPr>
        <w:t>: This includes citizens, children and youth, the elderly, civil servants in local self-governments, startups and small business owners, preferably led by women. The program will be customized to meet the specific needs of each target group or region. Feedback collected will inform the program's design in collaboration with local partners who will continue to engage in digital upskilling efforts.</w:t>
      </w:r>
    </w:p>
    <w:p w14:paraId="483FE3D1" w14:textId="77777777" w:rsidR="00235DDB" w:rsidRPr="00473901" w:rsidRDefault="00235DDB" w:rsidP="00235DDB">
      <w:pPr>
        <w:numPr>
          <w:ilvl w:val="0"/>
          <w:numId w:val="4"/>
        </w:numPr>
        <w:spacing w:after="0" w:line="240" w:lineRule="auto"/>
        <w:jc w:val="both"/>
        <w:rPr>
          <w:rFonts w:ascii="Times New Roman" w:hAnsi="Times New Roman" w:cs="Times New Roman"/>
        </w:rPr>
      </w:pPr>
      <w:r w:rsidRPr="3CC51A9E">
        <w:rPr>
          <w:rFonts w:ascii="Times New Roman" w:hAnsi="Times New Roman" w:cs="Times New Roman"/>
          <w:b/>
          <w:bCs/>
        </w:rPr>
        <w:t>Engagement of Local Partners</w:t>
      </w:r>
      <w:r w:rsidRPr="3CC51A9E">
        <w:rPr>
          <w:rFonts w:ascii="Times New Roman" w:hAnsi="Times New Roman" w:cs="Times New Roman"/>
        </w:rPr>
        <w:t>: This involves onboarding local partners to sustain the digital upskilling efforts and maintain ongoing engagement with local municipalities and citizens.</w:t>
      </w:r>
    </w:p>
    <w:p w14:paraId="5613A47D" w14:textId="77777777" w:rsidR="00235DDB" w:rsidRPr="00412157" w:rsidRDefault="00235DDB" w:rsidP="00235DDB">
      <w:pPr>
        <w:spacing w:after="0" w:line="240" w:lineRule="auto"/>
        <w:ind w:left="720"/>
        <w:jc w:val="both"/>
        <w:rPr>
          <w:rFonts w:ascii="Times New Roman" w:hAnsi="Times New Roman" w:cs="Times New Roman"/>
        </w:rPr>
      </w:pPr>
    </w:p>
    <w:p w14:paraId="4A9A27E6" w14:textId="77777777" w:rsidR="00235DDB" w:rsidRPr="00473901" w:rsidRDefault="00235DDB" w:rsidP="00235DDB">
      <w:pPr>
        <w:jc w:val="both"/>
        <w:rPr>
          <w:rFonts w:ascii="Times New Roman" w:hAnsi="Times New Roman" w:cs="Times New Roman"/>
        </w:rPr>
      </w:pPr>
      <w:r w:rsidRPr="008E4491">
        <w:rPr>
          <w:rFonts w:ascii="Times New Roman" w:hAnsi="Times New Roman" w:cs="Times New Roman"/>
        </w:rPr>
        <w:t xml:space="preserve">Planned activities may be conducted within some of the following regions: Vojvodina, Belgrade, Western </w:t>
      </w:r>
      <w:proofErr w:type="spellStart"/>
      <w:r w:rsidRPr="008E4491">
        <w:rPr>
          <w:rFonts w:ascii="Times New Roman" w:hAnsi="Times New Roman" w:cs="Times New Roman"/>
        </w:rPr>
        <w:t>Serbia</w:t>
      </w:r>
      <w:r>
        <w:rPr>
          <w:rFonts w:ascii="Times New Roman" w:hAnsi="Times New Roman" w:cs="Times New Roman"/>
        </w:rPr>
        <w:t>&amp;</w:t>
      </w:r>
      <w:r w:rsidRPr="008E4491">
        <w:rPr>
          <w:rFonts w:ascii="Times New Roman" w:hAnsi="Times New Roman" w:cs="Times New Roman"/>
        </w:rPr>
        <w:t>Šumadija</w:t>
      </w:r>
      <w:proofErr w:type="spellEnd"/>
      <w:r>
        <w:rPr>
          <w:rFonts w:ascii="Times New Roman" w:hAnsi="Times New Roman" w:cs="Times New Roman"/>
        </w:rPr>
        <w:t xml:space="preserve"> and </w:t>
      </w:r>
      <w:proofErr w:type="spellStart"/>
      <w:r w:rsidRPr="008E4491">
        <w:rPr>
          <w:rFonts w:ascii="Times New Roman" w:hAnsi="Times New Roman" w:cs="Times New Roman"/>
        </w:rPr>
        <w:t>Southern</w:t>
      </w:r>
      <w:r>
        <w:rPr>
          <w:rFonts w:ascii="Times New Roman" w:hAnsi="Times New Roman" w:cs="Times New Roman"/>
        </w:rPr>
        <w:t>&amp;</w:t>
      </w:r>
      <w:r w:rsidRPr="008E4491">
        <w:rPr>
          <w:rFonts w:ascii="Times New Roman" w:hAnsi="Times New Roman" w:cs="Times New Roman"/>
        </w:rPr>
        <w:t>Eastern</w:t>
      </w:r>
      <w:proofErr w:type="spellEnd"/>
      <w:r w:rsidRPr="008E4491">
        <w:rPr>
          <w:rFonts w:ascii="Times New Roman" w:hAnsi="Times New Roman" w:cs="Times New Roman"/>
        </w:rPr>
        <w:t xml:space="preserve"> Serbia, targeting strategically chosen municipalities</w:t>
      </w:r>
      <w:r w:rsidRPr="00BE0DAB">
        <w:rPr>
          <w:rFonts w:ascii="Times New Roman" w:hAnsi="Times New Roman" w:cs="Times New Roman"/>
        </w:rPr>
        <w:t>.</w:t>
      </w:r>
    </w:p>
    <w:bookmarkEnd w:id="1"/>
    <w:p w14:paraId="16F99041" w14:textId="77777777" w:rsidR="00235DDB" w:rsidRPr="00062BCA" w:rsidRDefault="00235DDB" w:rsidP="00235DDB">
      <w:pPr>
        <w:pStyle w:val="Heading1"/>
      </w:pPr>
      <w:r w:rsidRPr="00062BCA">
        <w:t>Scope and Phases</w:t>
      </w:r>
    </w:p>
    <w:p w14:paraId="7F1FBE17" w14:textId="77777777" w:rsidR="00235DDB" w:rsidRPr="00062BCA" w:rsidRDefault="00235DDB" w:rsidP="00235DDB">
      <w:pPr>
        <w:jc w:val="both"/>
        <w:rPr>
          <w:rFonts w:ascii="Times New Roman" w:hAnsi="Times New Roman" w:cs="Times New Roman"/>
        </w:rPr>
      </w:pPr>
      <w:r w:rsidRPr="00062BCA">
        <w:rPr>
          <w:rFonts w:ascii="Times New Roman" w:hAnsi="Times New Roman" w:cs="Times New Roman"/>
        </w:rPr>
        <w:t>The selected firm will be responsible for executing the following tasks:</w:t>
      </w:r>
    </w:p>
    <w:p w14:paraId="7FCC6632" w14:textId="77777777" w:rsidR="00235DDB" w:rsidRPr="00473901" w:rsidRDefault="00235DDB" w:rsidP="00235DDB">
      <w:pPr>
        <w:jc w:val="both"/>
        <w:rPr>
          <w:rFonts w:ascii="Times New Roman" w:hAnsi="Times New Roman" w:cs="Times New Roman"/>
        </w:rPr>
      </w:pPr>
      <w:r w:rsidRPr="00B55ABD">
        <w:rPr>
          <w:rFonts w:ascii="Times New Roman" w:hAnsi="Times New Roman" w:cs="Times New Roman"/>
        </w:rPr>
        <w:t>The next phase of the Digital Caravan aims to significantly broaden and deepen its geographic coverage across Serbia and enhance local community engagement</w:t>
      </w:r>
      <w:r w:rsidRPr="00473901">
        <w:rPr>
          <w:rFonts w:ascii="Times New Roman" w:hAnsi="Times New Roman" w:cs="Times New Roman"/>
        </w:rPr>
        <w:t xml:space="preserve">. </w:t>
      </w:r>
    </w:p>
    <w:p w14:paraId="5F799774" w14:textId="77777777" w:rsidR="00235DDB" w:rsidRDefault="00235DDB" w:rsidP="00235DDB">
      <w:pPr>
        <w:jc w:val="both"/>
        <w:rPr>
          <w:rFonts w:ascii="Times New Roman" w:hAnsi="Times New Roman" w:cs="Times New Roman"/>
        </w:rPr>
      </w:pPr>
      <w:r w:rsidRPr="00760C59">
        <w:rPr>
          <w:rFonts w:ascii="Times New Roman" w:hAnsi="Times New Roman" w:cs="Times New Roman"/>
        </w:rPr>
        <w:t xml:space="preserve">The Digital Caravan will be implemented </w:t>
      </w:r>
      <w:r w:rsidRPr="00007ED7">
        <w:rPr>
          <w:rFonts w:ascii="Times New Roman" w:hAnsi="Times New Roman" w:cs="Times New Roman"/>
        </w:rPr>
        <w:t xml:space="preserve">in </w:t>
      </w:r>
      <w:r>
        <w:rPr>
          <w:rFonts w:ascii="Times New Roman" w:hAnsi="Times New Roman" w:cs="Times New Roman"/>
        </w:rPr>
        <w:t>five (5)</w:t>
      </w:r>
      <w:r w:rsidRPr="00007ED7">
        <w:rPr>
          <w:rFonts w:ascii="Times New Roman" w:hAnsi="Times New Roman" w:cs="Times New Roman"/>
        </w:rPr>
        <w:t xml:space="preserve"> strategically </w:t>
      </w:r>
      <w:r w:rsidRPr="00760C59">
        <w:rPr>
          <w:rFonts w:ascii="Times New Roman" w:hAnsi="Times New Roman" w:cs="Times New Roman"/>
        </w:rPr>
        <w:t xml:space="preserve">selected municipalities, with the aim of deeper inclusion of local communities and strengthening their digital capacities. </w:t>
      </w:r>
      <w:r w:rsidRPr="00220F5D">
        <w:rPr>
          <w:rFonts w:ascii="Times New Roman" w:hAnsi="Times New Roman" w:cs="Times New Roman"/>
        </w:rPr>
        <w:t xml:space="preserve">In partnership with the selected </w:t>
      </w:r>
      <w:r>
        <w:rPr>
          <w:rFonts w:ascii="Times New Roman" w:hAnsi="Times New Roman" w:cs="Times New Roman"/>
        </w:rPr>
        <w:t>C</w:t>
      </w:r>
      <w:r w:rsidRPr="00220F5D">
        <w:rPr>
          <w:rFonts w:ascii="Times New Roman" w:hAnsi="Times New Roman" w:cs="Times New Roman"/>
        </w:rPr>
        <w:t>onsulting firm</w:t>
      </w:r>
      <w:r w:rsidRPr="00760C59">
        <w:rPr>
          <w:rFonts w:ascii="Times New Roman" w:hAnsi="Times New Roman" w:cs="Times New Roman"/>
        </w:rPr>
        <w:t>, the Office for IT and eGovernment (OITEG) will conduct activities in close cooperation with local stakeholders, including self-governments,</w:t>
      </w:r>
      <w:r>
        <w:rPr>
          <w:rFonts w:ascii="Times New Roman" w:hAnsi="Times New Roman" w:cs="Times New Roman"/>
        </w:rPr>
        <w:t xml:space="preserve"> health centers,</w:t>
      </w:r>
      <w:r w:rsidRPr="00760C59">
        <w:rPr>
          <w:rFonts w:ascii="Times New Roman" w:hAnsi="Times New Roman" w:cs="Times New Roman"/>
        </w:rPr>
        <w:t xml:space="preserve"> civil society organizations, small and medium enterprises, startups, as well as the technology communities.</w:t>
      </w:r>
      <w:r>
        <w:rPr>
          <w:rFonts w:ascii="Times New Roman" w:hAnsi="Times New Roman" w:cs="Times New Roman"/>
        </w:rPr>
        <w:t xml:space="preserve"> </w:t>
      </w:r>
    </w:p>
    <w:p w14:paraId="56B430C1" w14:textId="77777777" w:rsidR="00235DDB" w:rsidRDefault="00235DDB" w:rsidP="00235DDB">
      <w:pPr>
        <w:jc w:val="both"/>
        <w:rPr>
          <w:rFonts w:ascii="Times New Roman" w:hAnsi="Times New Roman" w:cs="Times New Roman"/>
        </w:rPr>
      </w:pPr>
      <w:r w:rsidRPr="005D31D0">
        <w:rPr>
          <w:rFonts w:ascii="Times New Roman" w:hAnsi="Times New Roman" w:cs="Times New Roman"/>
        </w:rPr>
        <w:t xml:space="preserve">Based on the framework established in the Inception Report, an Operational Plan will be developed. This plan may include stakeholder mapping, scheduling of key activities, allocation of responsibilities, and resource planning, and it can incorporate a customized engagement plan for each municipality. The engagement plan </w:t>
      </w:r>
      <w:r w:rsidRPr="0097146F">
        <w:rPr>
          <w:rFonts w:ascii="Times New Roman" w:hAnsi="Times New Roman" w:cs="Times New Roman"/>
        </w:rPr>
        <w:t xml:space="preserve">can be tailored </w:t>
      </w:r>
      <w:r w:rsidRPr="005D31D0">
        <w:rPr>
          <w:rFonts w:ascii="Times New Roman" w:hAnsi="Times New Roman" w:cs="Times New Roman"/>
        </w:rPr>
        <w:t xml:space="preserve">to the specific needs and circumstances of each local community and may include activities targeting different age groups, aiming to foster intergenerational cooperation and develop </w:t>
      </w:r>
      <w:r w:rsidRPr="005D31D0">
        <w:rPr>
          <w:rFonts w:ascii="Times New Roman" w:hAnsi="Times New Roman" w:cs="Times New Roman"/>
        </w:rPr>
        <w:lastRenderedPageBreak/>
        <w:t>essential skills for local digital transformation. The timeline and pace of implementation will remain flexible and may be adjusted according to available capacities and local conditions.</w:t>
      </w:r>
    </w:p>
    <w:p w14:paraId="59BF405E" w14:textId="77777777" w:rsidR="00235DDB" w:rsidRPr="009E1165" w:rsidRDefault="00235DDB" w:rsidP="00235DDB">
      <w:pPr>
        <w:jc w:val="both"/>
        <w:rPr>
          <w:rFonts w:ascii="Times New Roman" w:hAnsi="Times New Roman" w:cs="Times New Roman"/>
        </w:rPr>
      </w:pPr>
      <w:r w:rsidRPr="009E1165">
        <w:rPr>
          <w:rFonts w:ascii="Times New Roman" w:hAnsi="Times New Roman" w:cs="Times New Roman"/>
        </w:rPr>
        <w:t xml:space="preserve">The Digital Caravan program </w:t>
      </w:r>
      <w:r w:rsidRPr="009E467A">
        <w:rPr>
          <w:rFonts w:ascii="Times New Roman" w:hAnsi="Times New Roman" w:cs="Times New Roman"/>
        </w:rPr>
        <w:t xml:space="preserve">can be customized </w:t>
      </w:r>
      <w:r w:rsidRPr="009E1165">
        <w:rPr>
          <w:rFonts w:ascii="Times New Roman" w:hAnsi="Times New Roman" w:cs="Times New Roman"/>
        </w:rPr>
        <w:t xml:space="preserve">for each municipality while following a general structure </w:t>
      </w:r>
      <w:r w:rsidRPr="003C1854">
        <w:rPr>
          <w:rFonts w:ascii="Times New Roman" w:hAnsi="Times New Roman" w:cs="Times New Roman"/>
        </w:rPr>
        <w:t>that may cover topics and formats such as e-governance, digital skills, open data, digital economy, and digital literacy.</w:t>
      </w:r>
    </w:p>
    <w:p w14:paraId="19153157" w14:textId="77777777" w:rsidR="00235DDB" w:rsidRPr="009E1165" w:rsidRDefault="00235DDB" w:rsidP="00235DDB">
      <w:pPr>
        <w:jc w:val="both"/>
        <w:rPr>
          <w:rFonts w:ascii="Times New Roman" w:hAnsi="Times New Roman" w:cs="Times New Roman"/>
        </w:rPr>
      </w:pPr>
      <w:r w:rsidRPr="009E1165">
        <w:rPr>
          <w:rFonts w:ascii="Times New Roman" w:hAnsi="Times New Roman" w:cs="Times New Roman"/>
        </w:rPr>
        <w:t>Activities will be tailored to meet the needs of various audiences, including:</w:t>
      </w:r>
    </w:p>
    <w:p w14:paraId="5D128C41" w14:textId="77777777" w:rsidR="00235DDB" w:rsidRPr="00060E48" w:rsidRDefault="00235DDB" w:rsidP="00235DDB">
      <w:pPr>
        <w:pStyle w:val="ListParagraph"/>
        <w:numPr>
          <w:ilvl w:val="0"/>
          <w:numId w:val="6"/>
        </w:numPr>
        <w:jc w:val="both"/>
        <w:rPr>
          <w:rFonts w:ascii="Times New Roman" w:hAnsi="Times New Roman" w:cs="Times New Roman"/>
        </w:rPr>
      </w:pPr>
      <w:r w:rsidRPr="00060E48">
        <w:rPr>
          <w:rFonts w:ascii="Times New Roman" w:hAnsi="Times New Roman" w:cs="Times New Roman"/>
        </w:rPr>
        <w:t>Citizens of various ages:</w:t>
      </w:r>
      <w:r>
        <w:rPr>
          <w:rFonts w:ascii="Times New Roman" w:hAnsi="Times New Roman" w:cs="Times New Roman"/>
        </w:rPr>
        <w:t xml:space="preserve"> </w:t>
      </w:r>
      <w:r w:rsidRPr="00A4561A">
        <w:rPr>
          <w:rFonts w:ascii="Times New Roman" w:hAnsi="Times New Roman" w:cs="Times New Roman"/>
        </w:rPr>
        <w:t>For example,</w:t>
      </w:r>
      <w:r w:rsidRPr="00060E48">
        <w:rPr>
          <w:rFonts w:ascii="Times New Roman" w:hAnsi="Times New Roman" w:cs="Times New Roman"/>
        </w:rPr>
        <w:t xml:space="preserve"> </w:t>
      </w:r>
      <w:r>
        <w:rPr>
          <w:rFonts w:ascii="Times New Roman" w:hAnsi="Times New Roman" w:cs="Times New Roman"/>
        </w:rPr>
        <w:t>w</w:t>
      </w:r>
      <w:r w:rsidRPr="00060E48">
        <w:rPr>
          <w:rFonts w:ascii="Times New Roman" w:hAnsi="Times New Roman" w:cs="Times New Roman"/>
        </w:rPr>
        <w:t xml:space="preserve">orkshops and on-site engagements covering e-services, </w:t>
      </w:r>
      <w:r>
        <w:rPr>
          <w:rFonts w:ascii="Times New Roman" w:hAnsi="Times New Roman" w:cs="Times New Roman"/>
        </w:rPr>
        <w:t xml:space="preserve">e-health services, </w:t>
      </w:r>
      <w:r w:rsidRPr="00060E48">
        <w:rPr>
          <w:rFonts w:ascii="Times New Roman" w:hAnsi="Times New Roman" w:cs="Times New Roman"/>
        </w:rPr>
        <w:t>e-identity, e-signature, and e-payment</w:t>
      </w:r>
      <w:r>
        <w:rPr>
          <w:rFonts w:ascii="Times New Roman" w:hAnsi="Times New Roman" w:cs="Times New Roman"/>
        </w:rPr>
        <w:t xml:space="preserve">, </w:t>
      </w:r>
      <w:r w:rsidRPr="001C5554">
        <w:rPr>
          <w:rFonts w:ascii="Times New Roman" w:hAnsi="Times New Roman" w:cs="Times New Roman"/>
        </w:rPr>
        <w:t>such as guidance on how to use the e-government portal and make secure online payments.</w:t>
      </w:r>
    </w:p>
    <w:p w14:paraId="2B9B758D" w14:textId="77777777" w:rsidR="00235DDB" w:rsidRPr="00060E48" w:rsidRDefault="00235DDB" w:rsidP="00235DDB">
      <w:pPr>
        <w:pStyle w:val="ListParagraph"/>
        <w:numPr>
          <w:ilvl w:val="0"/>
          <w:numId w:val="6"/>
        </w:numPr>
        <w:jc w:val="both"/>
        <w:rPr>
          <w:rFonts w:ascii="Times New Roman" w:hAnsi="Times New Roman" w:cs="Times New Roman"/>
        </w:rPr>
      </w:pPr>
      <w:r w:rsidRPr="00060E48">
        <w:rPr>
          <w:rFonts w:ascii="Times New Roman" w:hAnsi="Times New Roman" w:cs="Times New Roman"/>
        </w:rPr>
        <w:t xml:space="preserve">Civil servants in local self-governments: </w:t>
      </w:r>
      <w:r w:rsidRPr="00511F77">
        <w:rPr>
          <w:rFonts w:ascii="Times New Roman" w:hAnsi="Times New Roman" w:cs="Times New Roman"/>
        </w:rPr>
        <w:t>For example,</w:t>
      </w:r>
      <w:r>
        <w:rPr>
          <w:rFonts w:ascii="Times New Roman" w:hAnsi="Times New Roman" w:cs="Times New Roman"/>
        </w:rPr>
        <w:t xml:space="preserve"> i</w:t>
      </w:r>
      <w:r w:rsidRPr="00060E48">
        <w:rPr>
          <w:rFonts w:ascii="Times New Roman" w:hAnsi="Times New Roman" w:cs="Times New Roman"/>
        </w:rPr>
        <w:t xml:space="preserve">nteractive workshops to enhance skills and knowledge of e-government and the OITEG offerings </w:t>
      </w:r>
      <w:proofErr w:type="gramStart"/>
      <w:r w:rsidRPr="00060E48">
        <w:rPr>
          <w:rFonts w:ascii="Times New Roman" w:hAnsi="Times New Roman" w:cs="Times New Roman"/>
        </w:rPr>
        <w:t>(”</w:t>
      </w:r>
      <w:proofErr w:type="spellStart"/>
      <w:r w:rsidRPr="00060E48">
        <w:rPr>
          <w:rFonts w:ascii="Times New Roman" w:hAnsi="Times New Roman" w:cs="Times New Roman"/>
        </w:rPr>
        <w:t>eZUP</w:t>
      </w:r>
      <w:proofErr w:type="spellEnd"/>
      <w:proofErr w:type="gramEnd"/>
      <w:r w:rsidRPr="00060E48">
        <w:rPr>
          <w:rFonts w:ascii="Times New Roman" w:hAnsi="Times New Roman" w:cs="Times New Roman"/>
        </w:rPr>
        <w:t>”, “</w:t>
      </w:r>
      <w:proofErr w:type="spellStart"/>
      <w:r w:rsidRPr="00060E48">
        <w:rPr>
          <w:rFonts w:ascii="Times New Roman" w:hAnsi="Times New Roman" w:cs="Times New Roman"/>
        </w:rPr>
        <w:t>eŠalter</w:t>
      </w:r>
      <w:proofErr w:type="spellEnd"/>
      <w:r w:rsidRPr="00060E48">
        <w:rPr>
          <w:rFonts w:ascii="Times New Roman" w:hAnsi="Times New Roman" w:cs="Times New Roman"/>
        </w:rPr>
        <w:t>”, “</w:t>
      </w:r>
      <w:proofErr w:type="spellStart"/>
      <w:r w:rsidRPr="00060E48">
        <w:rPr>
          <w:rFonts w:ascii="Times New Roman" w:hAnsi="Times New Roman" w:cs="Times New Roman"/>
        </w:rPr>
        <w:t>Pisarnica</w:t>
      </w:r>
      <w:proofErr w:type="spellEnd"/>
      <w:r w:rsidRPr="00060E48">
        <w:rPr>
          <w:rFonts w:ascii="Times New Roman" w:hAnsi="Times New Roman" w:cs="Times New Roman"/>
        </w:rPr>
        <w:t xml:space="preserve">”…). The program will also improve the capacity of self-governments to engage with citizens and businesses on digital issues. </w:t>
      </w:r>
    </w:p>
    <w:p w14:paraId="05F97732" w14:textId="77777777" w:rsidR="00235DDB" w:rsidRPr="00060E48" w:rsidRDefault="00235DDB" w:rsidP="00235DDB">
      <w:pPr>
        <w:pStyle w:val="ListParagraph"/>
        <w:numPr>
          <w:ilvl w:val="0"/>
          <w:numId w:val="6"/>
        </w:numPr>
        <w:jc w:val="both"/>
        <w:rPr>
          <w:rFonts w:ascii="Times New Roman" w:hAnsi="Times New Roman" w:cs="Times New Roman"/>
        </w:rPr>
      </w:pPr>
      <w:r w:rsidRPr="00060E48">
        <w:rPr>
          <w:rFonts w:ascii="Times New Roman" w:hAnsi="Times New Roman" w:cs="Times New Roman"/>
        </w:rPr>
        <w:t xml:space="preserve">Elderly: </w:t>
      </w:r>
      <w:r w:rsidRPr="00511F77">
        <w:rPr>
          <w:rFonts w:ascii="Times New Roman" w:hAnsi="Times New Roman" w:cs="Times New Roman"/>
        </w:rPr>
        <w:t>For example,</w:t>
      </w:r>
      <w:r>
        <w:rPr>
          <w:rFonts w:ascii="Times New Roman" w:hAnsi="Times New Roman" w:cs="Times New Roman"/>
        </w:rPr>
        <w:t xml:space="preserve"> i</w:t>
      </w:r>
      <w:r w:rsidRPr="00060E48">
        <w:rPr>
          <w:rFonts w:ascii="Times New Roman" w:hAnsi="Times New Roman" w:cs="Times New Roman"/>
        </w:rPr>
        <w:t>nteractive workshops at local retirement clubs teaching basic digital skills such as using cell phones, internet navigation, messaging apps, e-commerce, e-identity, and the e-government portal</w:t>
      </w:r>
      <w:r>
        <w:rPr>
          <w:rFonts w:ascii="Times New Roman" w:hAnsi="Times New Roman" w:cs="Times New Roman"/>
        </w:rPr>
        <w:t xml:space="preserve">, </w:t>
      </w:r>
      <w:r w:rsidRPr="00E068DD">
        <w:rPr>
          <w:rFonts w:ascii="Times New Roman" w:hAnsi="Times New Roman" w:cs="Times New Roman"/>
        </w:rPr>
        <w:t>including practical tips like how to send messages via WhatsApp or shop online safely.</w:t>
      </w:r>
    </w:p>
    <w:p w14:paraId="4E5E6BE4" w14:textId="77777777" w:rsidR="00235DDB" w:rsidRPr="00060E48" w:rsidRDefault="00235DDB" w:rsidP="00235DDB">
      <w:pPr>
        <w:pStyle w:val="ListParagraph"/>
        <w:numPr>
          <w:ilvl w:val="0"/>
          <w:numId w:val="6"/>
        </w:numPr>
        <w:jc w:val="both"/>
        <w:rPr>
          <w:rFonts w:ascii="Times New Roman" w:hAnsi="Times New Roman" w:cs="Times New Roman"/>
        </w:rPr>
      </w:pPr>
      <w:r w:rsidRPr="00060E48">
        <w:rPr>
          <w:rFonts w:ascii="Times New Roman" w:hAnsi="Times New Roman" w:cs="Times New Roman"/>
        </w:rPr>
        <w:t>Startups and Small Businesses (preferably women-led):</w:t>
      </w:r>
      <w:r>
        <w:rPr>
          <w:rFonts w:ascii="Times New Roman" w:hAnsi="Times New Roman" w:cs="Times New Roman"/>
        </w:rPr>
        <w:t xml:space="preserve"> </w:t>
      </w:r>
      <w:r w:rsidRPr="00511F77">
        <w:rPr>
          <w:rFonts w:ascii="Times New Roman" w:hAnsi="Times New Roman" w:cs="Times New Roman"/>
        </w:rPr>
        <w:t>For example,</w:t>
      </w:r>
      <w:r>
        <w:rPr>
          <w:rFonts w:ascii="Times New Roman" w:hAnsi="Times New Roman" w:cs="Times New Roman"/>
        </w:rPr>
        <w:t xml:space="preserve"> i</w:t>
      </w:r>
      <w:r w:rsidRPr="00060E48">
        <w:rPr>
          <w:rFonts w:ascii="Times New Roman" w:hAnsi="Times New Roman" w:cs="Times New Roman"/>
        </w:rPr>
        <w:t xml:space="preserve">nteractive workshops on using eGovernment services for businesses and </w:t>
      </w:r>
      <w:proofErr w:type="spellStart"/>
      <w:r w:rsidRPr="00060E48">
        <w:rPr>
          <w:rFonts w:ascii="Times New Roman" w:hAnsi="Times New Roman" w:cs="Times New Roman"/>
        </w:rPr>
        <w:t>eRegistration</w:t>
      </w:r>
      <w:proofErr w:type="spellEnd"/>
      <w:r>
        <w:rPr>
          <w:rFonts w:ascii="Times New Roman" w:hAnsi="Times New Roman" w:cs="Times New Roman"/>
        </w:rPr>
        <w:t xml:space="preserve">, </w:t>
      </w:r>
      <w:r w:rsidRPr="003F7802">
        <w:rPr>
          <w:rFonts w:ascii="Times New Roman" w:hAnsi="Times New Roman" w:cs="Times New Roman"/>
        </w:rPr>
        <w:t>such as how to register a new business online or submit digital tax forms.</w:t>
      </w:r>
    </w:p>
    <w:p w14:paraId="175DE28C" w14:textId="77777777" w:rsidR="00235DDB" w:rsidRPr="009E1165" w:rsidRDefault="00235DDB" w:rsidP="00235DDB">
      <w:pPr>
        <w:jc w:val="both"/>
        <w:rPr>
          <w:rFonts w:ascii="Times New Roman" w:hAnsi="Times New Roman" w:cs="Times New Roman"/>
        </w:rPr>
      </w:pPr>
      <w:r w:rsidRPr="00E77C1B">
        <w:rPr>
          <w:rFonts w:ascii="Times New Roman" w:hAnsi="Times New Roman" w:cs="Times New Roman"/>
        </w:rPr>
        <w:t xml:space="preserve">The core program of the Digital Caravan will consist of </w:t>
      </w:r>
      <w:r>
        <w:rPr>
          <w:rFonts w:ascii="Times New Roman" w:hAnsi="Times New Roman" w:cs="Times New Roman"/>
        </w:rPr>
        <w:t>five</w:t>
      </w:r>
      <w:r w:rsidRPr="00E77C1B">
        <w:rPr>
          <w:rFonts w:ascii="Times New Roman" w:hAnsi="Times New Roman" w:cs="Times New Roman"/>
        </w:rPr>
        <w:t xml:space="preserve"> ma</w:t>
      </w:r>
      <w:r>
        <w:rPr>
          <w:rFonts w:ascii="Times New Roman" w:hAnsi="Times New Roman" w:cs="Times New Roman"/>
        </w:rPr>
        <w:t>in</w:t>
      </w:r>
      <w:r w:rsidRPr="00E77C1B">
        <w:rPr>
          <w:rFonts w:ascii="Times New Roman" w:hAnsi="Times New Roman" w:cs="Times New Roman"/>
        </w:rPr>
        <w:t xml:space="preserve"> events held in strategically selected municipalities, with the aim of directly engaging local communities and promoting the development of digital skills among diverse target groups. Whenever possible, implementation will be aligned with periods of heightened local activity to maximize community participation. However, the timing, scope, and locations of the activities may be adjusted based on local conditions and logistical considerations. If needed, hybrid or alternative implementation models will be explored to ensure broad accessibility and maintain the quality of community engagement</w:t>
      </w:r>
      <w:r w:rsidRPr="009E1165">
        <w:rPr>
          <w:rFonts w:ascii="Times New Roman" w:hAnsi="Times New Roman" w:cs="Times New Roman"/>
        </w:rPr>
        <w:t>.</w:t>
      </w:r>
    </w:p>
    <w:p w14:paraId="07C8CABD" w14:textId="3BF767DB" w:rsidR="00235DDB" w:rsidRDefault="00235DDB" w:rsidP="00235DDB">
      <w:pPr>
        <w:jc w:val="both"/>
        <w:rPr>
          <w:rFonts w:ascii="Times New Roman" w:hAnsi="Times New Roman" w:cs="Times New Roman"/>
        </w:rPr>
      </w:pPr>
      <w:r w:rsidRPr="00473901">
        <w:rPr>
          <w:rFonts w:ascii="Times New Roman" w:hAnsi="Times New Roman" w:cs="Times New Roman"/>
        </w:rPr>
        <w:t>The Office for IT and eGovernment together with</w:t>
      </w:r>
      <w:r>
        <w:rPr>
          <w:rFonts w:ascii="Times New Roman" w:hAnsi="Times New Roman" w:cs="Times New Roman"/>
        </w:rPr>
        <w:t xml:space="preserve"> relevant stakeholders </w:t>
      </w:r>
      <w:r w:rsidRPr="00473901">
        <w:rPr>
          <w:rFonts w:ascii="Times New Roman" w:hAnsi="Times New Roman" w:cs="Times New Roman"/>
        </w:rPr>
        <w:t xml:space="preserve">will support and implement the initiative, which will be carried out </w:t>
      </w:r>
      <w:r>
        <w:rPr>
          <w:rFonts w:ascii="Times New Roman" w:hAnsi="Times New Roman" w:cs="Times New Roman"/>
        </w:rPr>
        <w:t>with</w:t>
      </w:r>
      <w:r w:rsidRPr="00473901">
        <w:rPr>
          <w:rFonts w:ascii="Times New Roman" w:hAnsi="Times New Roman" w:cs="Times New Roman"/>
        </w:rPr>
        <w:t xml:space="preserve"> local stakeholders. </w:t>
      </w:r>
      <w:r>
        <w:rPr>
          <w:rFonts w:ascii="Times New Roman" w:hAnsi="Times New Roman" w:cs="Times New Roman"/>
        </w:rPr>
        <w:t xml:space="preserve">OITEG </w:t>
      </w:r>
      <w:r w:rsidRPr="00473901">
        <w:rPr>
          <w:rFonts w:ascii="Times New Roman" w:hAnsi="Times New Roman" w:cs="Times New Roman"/>
        </w:rPr>
        <w:t>will also draw on an already existing broad network of public sector partners, civil society and community experts. These include not only local governments, but also civil society organizations</w:t>
      </w:r>
      <w:r>
        <w:rPr>
          <w:rFonts w:ascii="Times New Roman" w:hAnsi="Times New Roman" w:cs="Times New Roman"/>
        </w:rPr>
        <w:t>,</w:t>
      </w:r>
      <w:r w:rsidRPr="00473901">
        <w:rPr>
          <w:rFonts w:ascii="Times New Roman" w:hAnsi="Times New Roman" w:cs="Times New Roman"/>
        </w:rPr>
        <w:t xml:space="preserve"> local organizations, universities, the local private sector, science and technology parks, etc.</w:t>
      </w:r>
    </w:p>
    <w:p w14:paraId="1D580FF5" w14:textId="4E77D48E" w:rsidR="00F36EFE" w:rsidRDefault="00F36EFE" w:rsidP="00F36EFE">
      <w:pPr>
        <w:pStyle w:val="Heading1"/>
      </w:pPr>
      <w:r w:rsidRPr="00E341D1">
        <w:t>Key outputs and indicators</w:t>
      </w:r>
    </w:p>
    <w:p w14:paraId="4CE194DA" w14:textId="61338710" w:rsidR="00F36EFE" w:rsidRPr="00F36EFE" w:rsidRDefault="00F36EFE">
      <w:pPr>
        <w:jc w:val="both"/>
        <w:rPr>
          <w:rFonts w:ascii="Times New Roman" w:hAnsi="Times New Roman" w:cs="Times New Roman"/>
        </w:rPr>
      </w:pPr>
      <w:r w:rsidRPr="00E341D1">
        <w:rPr>
          <w:rFonts w:ascii="Times New Roman" w:hAnsi="Times New Roman" w:cs="Times New Roman"/>
        </w:rPr>
        <w:t xml:space="preserve">This activity should account for the following </w:t>
      </w:r>
      <w:r>
        <w:rPr>
          <w:rFonts w:ascii="Times New Roman" w:hAnsi="Times New Roman" w:cs="Times New Roman"/>
        </w:rPr>
        <w:t xml:space="preserve">outputs and contribute to reaching to listed targets: </w:t>
      </w:r>
    </w:p>
    <w:p w14:paraId="3D1658C7" w14:textId="798F3BB8" w:rsidR="00235DDB" w:rsidRPr="002E304F" w:rsidRDefault="00235DDB" w:rsidP="00235DDB">
      <w:pPr>
        <w:pStyle w:val="ListParagraph"/>
        <w:numPr>
          <w:ilvl w:val="0"/>
          <w:numId w:val="5"/>
        </w:numPr>
        <w:jc w:val="both"/>
        <w:rPr>
          <w:rFonts w:ascii="Times New Roman" w:hAnsi="Times New Roman" w:cs="Times New Roman"/>
        </w:rPr>
      </w:pPr>
      <w:r w:rsidRPr="68007EEB">
        <w:rPr>
          <w:rFonts w:ascii="Times New Roman" w:hAnsi="Times New Roman" w:cs="Times New Roman"/>
        </w:rPr>
        <w:t xml:space="preserve">Number of municipalities visited: </w:t>
      </w:r>
      <w:r w:rsidRPr="00E341D1">
        <w:rPr>
          <w:rFonts w:ascii="Times New Roman" w:hAnsi="Times New Roman" w:cs="Times New Roman"/>
          <w:b/>
          <w:bCs/>
        </w:rPr>
        <w:t xml:space="preserve">5 (five municipalities) </w:t>
      </w:r>
      <w:r w:rsidR="002E304F">
        <w:rPr>
          <w:rFonts w:ascii="Times New Roman" w:hAnsi="Times New Roman" w:cs="Times New Roman"/>
          <w:b/>
          <w:bCs/>
        </w:rPr>
        <w:t xml:space="preserve">– </w:t>
      </w:r>
      <w:r w:rsidR="002E304F" w:rsidRPr="00E341D1">
        <w:rPr>
          <w:rFonts w:ascii="Times New Roman" w:hAnsi="Times New Roman" w:cs="Times New Roman"/>
        </w:rPr>
        <w:t xml:space="preserve">including </w:t>
      </w:r>
      <w:r w:rsidR="002E304F" w:rsidRPr="002E304F">
        <w:rPr>
          <w:rFonts w:ascii="Times New Roman" w:hAnsi="Times New Roman" w:cs="Times New Roman"/>
        </w:rPr>
        <w:t xml:space="preserve">cities </w:t>
      </w:r>
      <w:r w:rsidR="002E304F">
        <w:rPr>
          <w:rFonts w:ascii="Times New Roman" w:hAnsi="Times New Roman" w:cs="Times New Roman"/>
        </w:rPr>
        <w:t xml:space="preserve">with more than </w:t>
      </w:r>
      <w:r w:rsidR="002E304F" w:rsidRPr="002E304F">
        <w:rPr>
          <w:rFonts w:ascii="Times New Roman" w:hAnsi="Times New Roman" w:cs="Times New Roman"/>
        </w:rPr>
        <w:t>100</w:t>
      </w:r>
      <w:r w:rsidR="002E304F">
        <w:rPr>
          <w:rFonts w:ascii="Times New Roman" w:hAnsi="Times New Roman" w:cs="Times New Roman"/>
        </w:rPr>
        <w:t>.</w:t>
      </w:r>
      <w:r w:rsidR="002E304F" w:rsidRPr="002E304F">
        <w:rPr>
          <w:rFonts w:ascii="Times New Roman" w:hAnsi="Times New Roman" w:cs="Times New Roman"/>
        </w:rPr>
        <w:t>000 inhabitants</w:t>
      </w:r>
      <w:r w:rsidR="002E304F">
        <w:rPr>
          <w:rFonts w:ascii="Times New Roman" w:hAnsi="Times New Roman" w:cs="Times New Roman"/>
        </w:rPr>
        <w:t xml:space="preserve">, </w:t>
      </w:r>
      <w:r w:rsidR="002E304F" w:rsidRPr="002E304F">
        <w:rPr>
          <w:rFonts w:ascii="Times New Roman" w:hAnsi="Times New Roman" w:cs="Times New Roman"/>
        </w:rPr>
        <w:t>cities with 50</w:t>
      </w:r>
      <w:r w:rsidR="002E304F">
        <w:rPr>
          <w:rFonts w:ascii="Times New Roman" w:hAnsi="Times New Roman" w:cs="Times New Roman"/>
        </w:rPr>
        <w:t>.</w:t>
      </w:r>
      <w:r w:rsidR="002E304F" w:rsidRPr="002E304F">
        <w:rPr>
          <w:rFonts w:ascii="Times New Roman" w:hAnsi="Times New Roman" w:cs="Times New Roman"/>
        </w:rPr>
        <w:t xml:space="preserve">000 </w:t>
      </w:r>
      <w:r w:rsidR="002E304F">
        <w:rPr>
          <w:rFonts w:ascii="Times New Roman" w:hAnsi="Times New Roman" w:cs="Times New Roman"/>
        </w:rPr>
        <w:t>–</w:t>
      </w:r>
      <w:r w:rsidR="002E304F" w:rsidRPr="002E304F">
        <w:rPr>
          <w:rFonts w:ascii="Times New Roman" w:hAnsi="Times New Roman" w:cs="Times New Roman"/>
        </w:rPr>
        <w:t xml:space="preserve"> 100</w:t>
      </w:r>
      <w:r w:rsidR="002E304F">
        <w:rPr>
          <w:rFonts w:ascii="Times New Roman" w:hAnsi="Times New Roman" w:cs="Times New Roman"/>
        </w:rPr>
        <w:t>.</w:t>
      </w:r>
      <w:r w:rsidR="002E304F" w:rsidRPr="002E304F">
        <w:rPr>
          <w:rFonts w:ascii="Times New Roman" w:hAnsi="Times New Roman" w:cs="Times New Roman"/>
        </w:rPr>
        <w:t>000</w:t>
      </w:r>
      <w:r w:rsidR="002E304F">
        <w:rPr>
          <w:rFonts w:ascii="Times New Roman" w:hAnsi="Times New Roman" w:cs="Times New Roman"/>
        </w:rPr>
        <w:t xml:space="preserve">, and </w:t>
      </w:r>
      <w:r w:rsidR="002E304F" w:rsidRPr="002E304F">
        <w:rPr>
          <w:rFonts w:ascii="Times New Roman" w:hAnsi="Times New Roman" w:cs="Times New Roman"/>
        </w:rPr>
        <w:t>towns with 30</w:t>
      </w:r>
      <w:r w:rsidR="002E304F">
        <w:rPr>
          <w:rFonts w:ascii="Times New Roman" w:hAnsi="Times New Roman" w:cs="Times New Roman"/>
        </w:rPr>
        <w:t>.</w:t>
      </w:r>
      <w:r w:rsidR="002E304F" w:rsidRPr="002E304F">
        <w:rPr>
          <w:rFonts w:ascii="Times New Roman" w:hAnsi="Times New Roman" w:cs="Times New Roman"/>
        </w:rPr>
        <w:t xml:space="preserve">000 </w:t>
      </w:r>
      <w:r w:rsidR="002E304F">
        <w:rPr>
          <w:rFonts w:ascii="Times New Roman" w:hAnsi="Times New Roman" w:cs="Times New Roman"/>
        </w:rPr>
        <w:t>–</w:t>
      </w:r>
      <w:r w:rsidR="002E304F" w:rsidRPr="002E304F">
        <w:rPr>
          <w:rFonts w:ascii="Times New Roman" w:hAnsi="Times New Roman" w:cs="Times New Roman"/>
        </w:rPr>
        <w:t xml:space="preserve"> 50</w:t>
      </w:r>
      <w:r w:rsidR="002E304F">
        <w:rPr>
          <w:rFonts w:ascii="Times New Roman" w:hAnsi="Times New Roman" w:cs="Times New Roman"/>
        </w:rPr>
        <w:t>.</w:t>
      </w:r>
      <w:r w:rsidR="002E304F" w:rsidRPr="002E304F">
        <w:rPr>
          <w:rFonts w:ascii="Times New Roman" w:hAnsi="Times New Roman" w:cs="Times New Roman"/>
        </w:rPr>
        <w:t>000 inhabitants</w:t>
      </w:r>
      <w:r w:rsidR="00D234B1">
        <w:rPr>
          <w:rFonts w:ascii="Times New Roman" w:hAnsi="Times New Roman" w:cs="Times New Roman"/>
        </w:rPr>
        <w:t xml:space="preserve"> – Followed by reports on each event, as specified in the Deliverables;</w:t>
      </w:r>
    </w:p>
    <w:p w14:paraId="4E7D0B37" w14:textId="0BF286F9" w:rsidR="00F36EFE" w:rsidRPr="0056260C" w:rsidRDefault="00F36EFE" w:rsidP="00235DDB">
      <w:pPr>
        <w:pStyle w:val="ListParagraph"/>
        <w:numPr>
          <w:ilvl w:val="0"/>
          <w:numId w:val="5"/>
        </w:numPr>
        <w:jc w:val="both"/>
        <w:rPr>
          <w:rFonts w:ascii="Times New Roman" w:hAnsi="Times New Roman" w:cs="Times New Roman"/>
        </w:rPr>
      </w:pPr>
      <w:r>
        <w:rPr>
          <w:rFonts w:ascii="Times New Roman" w:hAnsi="Times New Roman" w:cs="Times New Roman"/>
        </w:rPr>
        <w:t>Increase in n</w:t>
      </w:r>
      <w:r w:rsidRPr="00F36EFE">
        <w:rPr>
          <w:rFonts w:ascii="Times New Roman" w:hAnsi="Times New Roman" w:cs="Times New Roman"/>
        </w:rPr>
        <w:t>umber of citizens and businesses accessing e-services available on e-portal</w:t>
      </w:r>
      <w:r>
        <w:rPr>
          <w:rFonts w:ascii="Times New Roman" w:hAnsi="Times New Roman" w:cs="Times New Roman"/>
        </w:rPr>
        <w:t xml:space="preserve">: </w:t>
      </w:r>
      <w:r w:rsidRPr="00E341D1">
        <w:rPr>
          <w:rFonts w:ascii="Times New Roman" w:hAnsi="Times New Roman" w:cs="Times New Roman"/>
          <w:b/>
          <w:bCs/>
        </w:rPr>
        <w:t xml:space="preserve">100.000 </w:t>
      </w:r>
      <w:r w:rsidR="0065780C">
        <w:rPr>
          <w:rFonts w:ascii="Times New Roman" w:hAnsi="Times New Roman" w:cs="Times New Roman"/>
          <w:b/>
          <w:bCs/>
        </w:rPr>
        <w:t xml:space="preserve">(one hundred) </w:t>
      </w:r>
      <w:r w:rsidRPr="00E341D1">
        <w:rPr>
          <w:rFonts w:ascii="Times New Roman" w:hAnsi="Times New Roman" w:cs="Times New Roman"/>
          <w:b/>
          <w:bCs/>
        </w:rPr>
        <w:t>users</w:t>
      </w:r>
      <w:r w:rsidR="00D234B1">
        <w:rPr>
          <w:rFonts w:ascii="Times New Roman" w:hAnsi="Times New Roman" w:cs="Times New Roman"/>
          <w:b/>
          <w:bCs/>
        </w:rPr>
        <w:t xml:space="preserve"> </w:t>
      </w:r>
      <w:r w:rsidR="00D234B1" w:rsidRPr="0056260C">
        <w:rPr>
          <w:rFonts w:ascii="Times New Roman" w:hAnsi="Times New Roman" w:cs="Times New Roman"/>
        </w:rPr>
        <w:t xml:space="preserve">– supported by </w:t>
      </w:r>
      <w:r w:rsidR="00D234B1">
        <w:rPr>
          <w:rFonts w:ascii="Times New Roman" w:hAnsi="Times New Roman" w:cs="Times New Roman"/>
        </w:rPr>
        <w:t>o</w:t>
      </w:r>
      <w:r w:rsidR="00D234B1" w:rsidRPr="0056260C">
        <w:rPr>
          <w:rFonts w:ascii="Times New Roman" w:hAnsi="Times New Roman" w:cs="Times New Roman"/>
        </w:rPr>
        <w:t>fficial statistics of the number of users on eGovernment Portal</w:t>
      </w:r>
      <w:r w:rsidR="00D234B1">
        <w:rPr>
          <w:rFonts w:ascii="Times New Roman" w:hAnsi="Times New Roman" w:cs="Times New Roman"/>
        </w:rPr>
        <w:t>, prior and after each event;</w:t>
      </w:r>
    </w:p>
    <w:p w14:paraId="58829049" w14:textId="00B4B939" w:rsidR="00F36EFE" w:rsidRPr="00D234B1" w:rsidRDefault="00F36EFE" w:rsidP="00235DDB">
      <w:pPr>
        <w:pStyle w:val="ListParagraph"/>
        <w:numPr>
          <w:ilvl w:val="0"/>
          <w:numId w:val="5"/>
        </w:numPr>
        <w:jc w:val="both"/>
        <w:rPr>
          <w:rFonts w:ascii="Times New Roman" w:hAnsi="Times New Roman" w:cs="Times New Roman"/>
        </w:rPr>
      </w:pPr>
      <w:r w:rsidRPr="00F36EFE">
        <w:rPr>
          <w:rFonts w:ascii="Times New Roman" w:hAnsi="Times New Roman" w:cs="Times New Roman"/>
        </w:rPr>
        <w:t xml:space="preserve">Digital Caravan should serve </w:t>
      </w:r>
      <w:r>
        <w:rPr>
          <w:rFonts w:ascii="Times New Roman" w:hAnsi="Times New Roman" w:cs="Times New Roman"/>
        </w:rPr>
        <w:t>as a channel</w:t>
      </w:r>
      <w:r w:rsidRPr="00F36EFE">
        <w:rPr>
          <w:rFonts w:ascii="Times New Roman" w:hAnsi="Times New Roman" w:cs="Times New Roman"/>
        </w:rPr>
        <w:t xml:space="preserve"> </w:t>
      </w:r>
      <w:r>
        <w:rPr>
          <w:rFonts w:ascii="Times New Roman" w:hAnsi="Times New Roman" w:cs="Times New Roman"/>
        </w:rPr>
        <w:t>for</w:t>
      </w:r>
      <w:r w:rsidRPr="00F36EFE">
        <w:rPr>
          <w:rFonts w:ascii="Times New Roman" w:hAnsi="Times New Roman" w:cs="Times New Roman"/>
        </w:rPr>
        <w:t xml:space="preserve"> promoting and educating citizens on newly digitalized e-services and in this respect should contribute to overall user satisfaction by at least </w:t>
      </w:r>
      <w:r w:rsidRPr="00E341D1">
        <w:rPr>
          <w:rFonts w:ascii="Times New Roman" w:hAnsi="Times New Roman" w:cs="Times New Roman"/>
          <w:b/>
          <w:bCs/>
        </w:rPr>
        <w:t>5</w:t>
      </w:r>
      <w:r w:rsidR="0065780C">
        <w:rPr>
          <w:rFonts w:ascii="Times New Roman" w:hAnsi="Times New Roman" w:cs="Times New Roman"/>
          <w:b/>
          <w:bCs/>
        </w:rPr>
        <w:t xml:space="preserve"> (five) percent</w:t>
      </w:r>
      <w:r w:rsidR="00D234B1">
        <w:rPr>
          <w:rFonts w:ascii="Times New Roman" w:hAnsi="Times New Roman" w:cs="Times New Roman"/>
          <w:b/>
          <w:bCs/>
        </w:rPr>
        <w:t xml:space="preserve"> – </w:t>
      </w:r>
      <w:r w:rsidR="00D234B1" w:rsidRPr="0056260C">
        <w:rPr>
          <w:rFonts w:ascii="Times New Roman" w:hAnsi="Times New Roman" w:cs="Times New Roman"/>
        </w:rPr>
        <w:t>followed by additional analysis of</w:t>
      </w:r>
      <w:r w:rsidR="00D234B1">
        <w:rPr>
          <w:rFonts w:ascii="Times New Roman" w:hAnsi="Times New Roman" w:cs="Times New Roman"/>
          <w:b/>
          <w:bCs/>
        </w:rPr>
        <w:t xml:space="preserve"> </w:t>
      </w:r>
      <w:r w:rsidR="00D234B1" w:rsidRPr="0056260C">
        <w:rPr>
          <w:rFonts w:ascii="Times New Roman" w:hAnsi="Times New Roman" w:cs="Times New Roman"/>
        </w:rPr>
        <w:t xml:space="preserve">change in </w:t>
      </w:r>
      <w:r w:rsidR="00D234B1" w:rsidRPr="00D234B1">
        <w:rPr>
          <w:rFonts w:ascii="Times New Roman" w:hAnsi="Times New Roman" w:cs="Times New Roman"/>
        </w:rPr>
        <w:t xml:space="preserve">user satisfaction with </w:t>
      </w:r>
      <w:proofErr w:type="spellStart"/>
      <w:r w:rsidR="00D234B1" w:rsidRPr="00D234B1">
        <w:rPr>
          <w:rFonts w:ascii="Times New Roman" w:hAnsi="Times New Roman" w:cs="Times New Roman"/>
        </w:rPr>
        <w:t>eServices</w:t>
      </w:r>
      <w:proofErr w:type="spellEnd"/>
      <w:r w:rsidR="00D234B1" w:rsidRPr="00D234B1">
        <w:rPr>
          <w:rFonts w:ascii="Times New Roman" w:hAnsi="Times New Roman" w:cs="Times New Roman"/>
        </w:rPr>
        <w:t xml:space="preserve"> </w:t>
      </w:r>
      <w:r w:rsidR="00D234B1">
        <w:rPr>
          <w:rFonts w:ascii="Times New Roman" w:hAnsi="Times New Roman" w:cs="Times New Roman"/>
        </w:rPr>
        <w:t>prior and prior and after each event;</w:t>
      </w:r>
    </w:p>
    <w:p w14:paraId="1225789F" w14:textId="595CBA06" w:rsidR="00F36EFE" w:rsidRPr="00473901" w:rsidRDefault="00F36EFE" w:rsidP="00235DDB">
      <w:pPr>
        <w:pStyle w:val="ListParagraph"/>
        <w:numPr>
          <w:ilvl w:val="0"/>
          <w:numId w:val="5"/>
        </w:numPr>
        <w:jc w:val="both"/>
        <w:rPr>
          <w:rFonts w:ascii="Times New Roman" w:hAnsi="Times New Roman" w:cs="Times New Roman"/>
        </w:rPr>
      </w:pPr>
      <w:r w:rsidRPr="00F36EFE">
        <w:rPr>
          <w:rFonts w:ascii="Times New Roman" w:hAnsi="Times New Roman" w:cs="Times New Roman"/>
        </w:rPr>
        <w:lastRenderedPageBreak/>
        <w:t xml:space="preserve">Part of the objectives of the Digital Caravan is to educate local government officials about services </w:t>
      </w:r>
      <w:r>
        <w:rPr>
          <w:rFonts w:ascii="Times New Roman" w:hAnsi="Times New Roman" w:cs="Times New Roman"/>
        </w:rPr>
        <w:t xml:space="preserve">and tools </w:t>
      </w:r>
      <w:r w:rsidRPr="00F36EFE">
        <w:rPr>
          <w:rFonts w:ascii="Times New Roman" w:hAnsi="Times New Roman" w:cs="Times New Roman"/>
        </w:rPr>
        <w:t xml:space="preserve">available for their work. </w:t>
      </w:r>
      <w:r>
        <w:rPr>
          <w:rFonts w:ascii="Times New Roman" w:hAnsi="Times New Roman" w:cs="Times New Roman"/>
        </w:rPr>
        <w:t>This activity should provide trainings for</w:t>
      </w:r>
      <w:r w:rsidRPr="00F36EFE">
        <w:rPr>
          <w:rFonts w:ascii="Times New Roman" w:hAnsi="Times New Roman" w:cs="Times New Roman"/>
        </w:rPr>
        <w:t xml:space="preserve"> </w:t>
      </w:r>
      <w:r w:rsidRPr="00E341D1">
        <w:rPr>
          <w:rFonts w:ascii="Times New Roman" w:hAnsi="Times New Roman" w:cs="Times New Roman"/>
          <w:b/>
          <w:bCs/>
        </w:rPr>
        <w:t>100 (one hundred)</w:t>
      </w:r>
      <w:r w:rsidRPr="00F36EFE">
        <w:rPr>
          <w:rFonts w:ascii="Times New Roman" w:hAnsi="Times New Roman" w:cs="Times New Roman"/>
        </w:rPr>
        <w:t xml:space="preserve"> local government officials</w:t>
      </w:r>
      <w:r w:rsidR="00D234B1">
        <w:rPr>
          <w:rFonts w:ascii="Times New Roman" w:hAnsi="Times New Roman" w:cs="Times New Roman"/>
        </w:rPr>
        <w:t xml:space="preserve"> – followed by submission </w:t>
      </w:r>
      <w:r w:rsidR="00D452E2">
        <w:rPr>
          <w:rFonts w:ascii="Times New Roman" w:hAnsi="Times New Roman" w:cs="Times New Roman"/>
        </w:rPr>
        <w:t>of training reports, containing listed participants after each event.</w:t>
      </w:r>
    </w:p>
    <w:p w14:paraId="1D5892E7" w14:textId="77777777" w:rsidR="00235DDB" w:rsidRDefault="00235DDB" w:rsidP="00235DDB">
      <w:pPr>
        <w:pStyle w:val="Heading1"/>
      </w:pPr>
      <w:r>
        <w:t>Deliverables</w:t>
      </w:r>
    </w:p>
    <w:tbl>
      <w:tblPr>
        <w:tblStyle w:val="TableGrid"/>
        <w:tblW w:w="7708" w:type="dxa"/>
        <w:jc w:val="center"/>
        <w:tblLook w:val="04A0" w:firstRow="1" w:lastRow="0" w:firstColumn="1" w:lastColumn="0" w:noHBand="0" w:noVBand="1"/>
      </w:tblPr>
      <w:tblGrid>
        <w:gridCol w:w="436"/>
        <w:gridCol w:w="5876"/>
        <w:gridCol w:w="1396"/>
      </w:tblGrid>
      <w:tr w:rsidR="00235DDB" w14:paraId="107A7D97" w14:textId="77777777" w:rsidTr="00186A91">
        <w:trPr>
          <w:jc w:val="center"/>
        </w:trPr>
        <w:tc>
          <w:tcPr>
            <w:tcW w:w="436" w:type="dxa"/>
            <w:tcBorders>
              <w:top w:val="single" w:sz="4" w:space="0" w:color="auto"/>
              <w:bottom w:val="single" w:sz="4" w:space="0" w:color="auto"/>
              <w:right w:val="single" w:sz="4" w:space="0" w:color="auto"/>
            </w:tcBorders>
          </w:tcPr>
          <w:p w14:paraId="6A085BC4" w14:textId="77777777" w:rsidR="00235DDB" w:rsidRPr="00473901" w:rsidRDefault="00235DDB" w:rsidP="00186A91">
            <w:pPr>
              <w:keepNext/>
              <w:spacing w:after="160" w:line="259" w:lineRule="auto"/>
              <w:jc w:val="both"/>
              <w:rPr>
                <w:rFonts w:ascii="Times New Roman" w:hAnsi="Times New Roman" w:cs="Times New Roman"/>
                <w:i/>
                <w:iCs/>
              </w:rPr>
            </w:pPr>
            <w:r w:rsidRPr="68007EEB">
              <w:rPr>
                <w:rFonts w:ascii="Times New Roman" w:hAnsi="Times New Roman" w:cs="Times New Roman"/>
                <w:i/>
                <w:iCs/>
              </w:rPr>
              <w:t>#</w:t>
            </w:r>
          </w:p>
        </w:tc>
        <w:tc>
          <w:tcPr>
            <w:tcW w:w="5876" w:type="dxa"/>
            <w:tcBorders>
              <w:top w:val="single" w:sz="4" w:space="0" w:color="auto"/>
              <w:left w:val="single" w:sz="4" w:space="0" w:color="auto"/>
              <w:bottom w:val="single" w:sz="4" w:space="0" w:color="auto"/>
              <w:right w:val="single" w:sz="4" w:space="0" w:color="auto"/>
            </w:tcBorders>
          </w:tcPr>
          <w:p w14:paraId="5DB562B7" w14:textId="77777777" w:rsidR="00235DDB" w:rsidRPr="00725DDC" w:rsidRDefault="00235DDB" w:rsidP="00186A91">
            <w:pPr>
              <w:keepNext/>
              <w:spacing w:after="160" w:line="259" w:lineRule="auto"/>
              <w:jc w:val="both"/>
              <w:rPr>
                <w:rFonts w:ascii="Times New Roman" w:hAnsi="Times New Roman" w:cs="Times New Roman"/>
                <w:b/>
                <w:bCs/>
              </w:rPr>
            </w:pPr>
            <w:r w:rsidRPr="00725DDC">
              <w:rPr>
                <w:rFonts w:ascii="Times New Roman" w:hAnsi="Times New Roman" w:cs="Times New Roman"/>
                <w:b/>
                <w:bCs/>
              </w:rPr>
              <w:t>Deliverable</w:t>
            </w:r>
          </w:p>
        </w:tc>
        <w:tc>
          <w:tcPr>
            <w:tcW w:w="1396" w:type="dxa"/>
            <w:tcBorders>
              <w:top w:val="single" w:sz="4" w:space="0" w:color="auto"/>
              <w:left w:val="single" w:sz="4" w:space="0" w:color="auto"/>
              <w:bottom w:val="single" w:sz="4" w:space="0" w:color="auto"/>
              <w:right w:val="single" w:sz="4" w:space="0" w:color="auto"/>
            </w:tcBorders>
          </w:tcPr>
          <w:p w14:paraId="1298F1A2" w14:textId="77777777" w:rsidR="00235DDB" w:rsidRPr="00725DDC" w:rsidRDefault="00235DDB" w:rsidP="00186A91">
            <w:pPr>
              <w:keepNext/>
              <w:spacing w:after="160" w:line="259" w:lineRule="auto"/>
              <w:jc w:val="both"/>
              <w:rPr>
                <w:rFonts w:ascii="Times New Roman" w:hAnsi="Times New Roman" w:cs="Times New Roman"/>
                <w:b/>
                <w:bCs/>
              </w:rPr>
            </w:pPr>
            <w:r w:rsidRPr="00725DDC">
              <w:rPr>
                <w:rFonts w:ascii="Times New Roman" w:hAnsi="Times New Roman" w:cs="Times New Roman"/>
                <w:b/>
                <w:bCs/>
              </w:rPr>
              <w:t>Deadline</w:t>
            </w:r>
          </w:p>
        </w:tc>
      </w:tr>
      <w:tr w:rsidR="00235DDB" w14:paraId="77A2384E" w14:textId="77777777" w:rsidTr="00186A91">
        <w:trPr>
          <w:jc w:val="center"/>
        </w:trPr>
        <w:tc>
          <w:tcPr>
            <w:tcW w:w="436" w:type="dxa"/>
          </w:tcPr>
          <w:p w14:paraId="4630C400" w14:textId="77777777" w:rsidR="00235DDB" w:rsidRPr="00473901" w:rsidRDefault="00235DDB" w:rsidP="00186A91">
            <w:pPr>
              <w:keepNext/>
              <w:spacing w:after="160" w:line="259" w:lineRule="auto"/>
              <w:jc w:val="both"/>
              <w:rPr>
                <w:rFonts w:ascii="Times New Roman" w:hAnsi="Times New Roman" w:cs="Times New Roman"/>
                <w:i/>
                <w:iCs/>
              </w:rPr>
            </w:pPr>
            <w:r w:rsidRPr="68007EEB">
              <w:rPr>
                <w:rFonts w:ascii="Times New Roman" w:hAnsi="Times New Roman" w:cs="Times New Roman"/>
                <w:i/>
                <w:iCs/>
              </w:rPr>
              <w:t>1</w:t>
            </w:r>
          </w:p>
        </w:tc>
        <w:tc>
          <w:tcPr>
            <w:tcW w:w="5876" w:type="dxa"/>
          </w:tcPr>
          <w:p w14:paraId="57DC0C0A" w14:textId="77777777" w:rsidR="00235DDB" w:rsidRPr="00732185" w:rsidRDefault="00235DDB" w:rsidP="00186A91">
            <w:pPr>
              <w:keepNext/>
              <w:spacing w:line="259" w:lineRule="auto"/>
              <w:rPr>
                <w:rFonts w:ascii="Times New Roman" w:hAnsi="Times New Roman" w:cs="Times New Roman"/>
                <w:b/>
                <w:bCs/>
              </w:rPr>
            </w:pPr>
            <w:r w:rsidRPr="00732185">
              <w:rPr>
                <w:rFonts w:ascii="Times New Roman" w:hAnsi="Times New Roman" w:cs="Times New Roman"/>
                <w:b/>
                <w:bCs/>
              </w:rPr>
              <w:t>Inception Report</w:t>
            </w:r>
          </w:p>
        </w:tc>
        <w:tc>
          <w:tcPr>
            <w:tcW w:w="1396" w:type="dxa"/>
          </w:tcPr>
          <w:p w14:paraId="2FC6C5E2" w14:textId="054A4C9E" w:rsidR="00235DDB" w:rsidRPr="00732185" w:rsidRDefault="00A736E1" w:rsidP="00186A91">
            <w:pPr>
              <w:keepNext/>
              <w:spacing w:after="160" w:line="259" w:lineRule="auto"/>
              <w:jc w:val="both"/>
              <w:rPr>
                <w:rFonts w:ascii="Times New Roman" w:hAnsi="Times New Roman" w:cs="Times New Roman"/>
                <w:i/>
                <w:iCs/>
                <w:sz w:val="20"/>
                <w:szCs w:val="20"/>
              </w:rPr>
            </w:pPr>
            <w:r>
              <w:rPr>
                <w:rFonts w:ascii="Times New Roman" w:hAnsi="Times New Roman" w:cs="Times New Roman"/>
                <w:i/>
                <w:iCs/>
                <w:sz w:val="20"/>
                <w:szCs w:val="20"/>
              </w:rPr>
              <w:t>4</w:t>
            </w:r>
            <w:r w:rsidR="00235DDB" w:rsidRPr="00732185">
              <w:rPr>
                <w:rFonts w:ascii="Times New Roman" w:hAnsi="Times New Roman" w:cs="Times New Roman"/>
                <w:i/>
                <w:iCs/>
                <w:sz w:val="20"/>
                <w:szCs w:val="20"/>
              </w:rPr>
              <w:t xml:space="preserve"> weeks after signing the contract</w:t>
            </w:r>
          </w:p>
        </w:tc>
      </w:tr>
      <w:tr w:rsidR="00235DDB" w14:paraId="484A72E3" w14:textId="77777777" w:rsidTr="00186A91">
        <w:trPr>
          <w:jc w:val="center"/>
        </w:trPr>
        <w:tc>
          <w:tcPr>
            <w:tcW w:w="436" w:type="dxa"/>
          </w:tcPr>
          <w:p w14:paraId="2556F3EF" w14:textId="77777777" w:rsidR="00235DDB" w:rsidRPr="00473901" w:rsidRDefault="00235DDB" w:rsidP="00186A91">
            <w:pPr>
              <w:keepNext/>
              <w:spacing w:after="160" w:line="259" w:lineRule="auto"/>
              <w:jc w:val="both"/>
              <w:rPr>
                <w:rFonts w:ascii="Times New Roman" w:hAnsi="Times New Roman" w:cs="Times New Roman"/>
                <w:i/>
                <w:iCs/>
              </w:rPr>
            </w:pPr>
            <w:r w:rsidRPr="68007EEB">
              <w:rPr>
                <w:rFonts w:ascii="Times New Roman" w:hAnsi="Times New Roman" w:cs="Times New Roman"/>
                <w:i/>
                <w:iCs/>
              </w:rPr>
              <w:t>2</w:t>
            </w:r>
          </w:p>
        </w:tc>
        <w:tc>
          <w:tcPr>
            <w:tcW w:w="5876" w:type="dxa"/>
          </w:tcPr>
          <w:p w14:paraId="13D8EB5F" w14:textId="77777777" w:rsidR="00235DDB" w:rsidRDefault="00235DDB" w:rsidP="00186A91">
            <w:pPr>
              <w:keepNext/>
              <w:spacing w:line="259" w:lineRule="auto"/>
              <w:rPr>
                <w:rFonts w:ascii="Times New Roman" w:hAnsi="Times New Roman" w:cs="Times New Roman"/>
                <w:b/>
                <w:bCs/>
              </w:rPr>
            </w:pPr>
            <w:r w:rsidRPr="00732185">
              <w:rPr>
                <w:rFonts w:ascii="Times New Roman" w:hAnsi="Times New Roman" w:cs="Times New Roman"/>
                <w:b/>
                <w:bCs/>
              </w:rPr>
              <w:t>Operational Plan</w:t>
            </w:r>
          </w:p>
          <w:p w14:paraId="03CA634C" w14:textId="77777777" w:rsidR="00235DDB" w:rsidRPr="00732185" w:rsidRDefault="00235DDB" w:rsidP="00186A91">
            <w:pPr>
              <w:pStyle w:val="ListParagraph"/>
              <w:keepNext/>
              <w:numPr>
                <w:ilvl w:val="0"/>
                <w:numId w:val="5"/>
              </w:numPr>
              <w:rPr>
                <w:rFonts w:ascii="Times New Roman" w:hAnsi="Times New Roman" w:cs="Times New Roman"/>
                <w:b/>
                <w:bCs/>
                <w:sz w:val="20"/>
                <w:szCs w:val="20"/>
              </w:rPr>
            </w:pPr>
            <w:r w:rsidRPr="00732185">
              <w:rPr>
                <w:rFonts w:ascii="Times New Roman" w:hAnsi="Times New Roman" w:cs="Times New Roman"/>
                <w:sz w:val="20"/>
                <w:szCs w:val="20"/>
              </w:rPr>
              <w:t xml:space="preserve">Detailed </w:t>
            </w:r>
            <w:r>
              <w:rPr>
                <w:rFonts w:ascii="Times New Roman" w:hAnsi="Times New Roman" w:cs="Times New Roman"/>
                <w:sz w:val="20"/>
                <w:szCs w:val="20"/>
              </w:rPr>
              <w:t>plan for conducting the events with defined locations and schedule</w:t>
            </w:r>
          </w:p>
        </w:tc>
        <w:tc>
          <w:tcPr>
            <w:tcW w:w="1396" w:type="dxa"/>
          </w:tcPr>
          <w:p w14:paraId="06500E8A" w14:textId="0E230E4E" w:rsidR="00235DDB" w:rsidRPr="00732185" w:rsidRDefault="00A67E52" w:rsidP="00186A91">
            <w:pPr>
              <w:keepNext/>
              <w:spacing w:after="160" w:line="259" w:lineRule="auto"/>
              <w:jc w:val="both"/>
              <w:rPr>
                <w:rFonts w:ascii="Times New Roman" w:hAnsi="Times New Roman" w:cs="Times New Roman"/>
                <w:i/>
                <w:iCs/>
                <w:sz w:val="20"/>
                <w:szCs w:val="20"/>
              </w:rPr>
            </w:pPr>
            <w:r>
              <w:rPr>
                <w:rFonts w:ascii="Times New Roman" w:hAnsi="Times New Roman" w:cs="Times New Roman"/>
                <w:i/>
                <w:iCs/>
                <w:sz w:val="20"/>
                <w:szCs w:val="20"/>
              </w:rPr>
              <w:t>6</w:t>
            </w:r>
            <w:r w:rsidR="00235DDB" w:rsidRPr="00732185">
              <w:rPr>
                <w:rFonts w:ascii="Times New Roman" w:hAnsi="Times New Roman" w:cs="Times New Roman"/>
                <w:i/>
                <w:iCs/>
                <w:sz w:val="20"/>
                <w:szCs w:val="20"/>
              </w:rPr>
              <w:t xml:space="preserve"> weeks after signing the contract</w:t>
            </w:r>
          </w:p>
        </w:tc>
      </w:tr>
      <w:tr w:rsidR="00235DDB" w14:paraId="6D8D9D1A" w14:textId="77777777" w:rsidTr="00186A91">
        <w:trPr>
          <w:jc w:val="center"/>
        </w:trPr>
        <w:tc>
          <w:tcPr>
            <w:tcW w:w="436" w:type="dxa"/>
          </w:tcPr>
          <w:p w14:paraId="6B26557D" w14:textId="77777777" w:rsidR="00235DDB" w:rsidRPr="00473901" w:rsidRDefault="00235DDB" w:rsidP="00186A91">
            <w:pPr>
              <w:keepNext/>
              <w:spacing w:after="160" w:line="259" w:lineRule="auto"/>
              <w:jc w:val="both"/>
              <w:rPr>
                <w:rFonts w:ascii="Times New Roman" w:hAnsi="Times New Roman" w:cs="Times New Roman"/>
                <w:i/>
                <w:iCs/>
              </w:rPr>
            </w:pPr>
            <w:r w:rsidRPr="68007EEB">
              <w:rPr>
                <w:rFonts w:ascii="Times New Roman" w:hAnsi="Times New Roman" w:cs="Times New Roman"/>
                <w:i/>
                <w:iCs/>
              </w:rPr>
              <w:t>3</w:t>
            </w:r>
          </w:p>
        </w:tc>
        <w:tc>
          <w:tcPr>
            <w:tcW w:w="5876" w:type="dxa"/>
          </w:tcPr>
          <w:p w14:paraId="38AA933F" w14:textId="77777777" w:rsidR="00235DDB" w:rsidRDefault="00235DDB" w:rsidP="00186A91">
            <w:pPr>
              <w:keepNext/>
              <w:spacing w:line="259" w:lineRule="auto"/>
              <w:rPr>
                <w:rFonts w:ascii="Times New Roman" w:hAnsi="Times New Roman" w:cs="Times New Roman"/>
                <w:b/>
                <w:bCs/>
              </w:rPr>
            </w:pPr>
            <w:r w:rsidRPr="00732185">
              <w:rPr>
                <w:rFonts w:ascii="Times New Roman" w:hAnsi="Times New Roman" w:cs="Times New Roman"/>
                <w:b/>
                <w:bCs/>
              </w:rPr>
              <w:t>Report on the First Two Events</w:t>
            </w:r>
          </w:p>
          <w:p w14:paraId="02DFB507" w14:textId="77777777" w:rsidR="00235DDB" w:rsidRPr="00732185" w:rsidRDefault="00235DDB" w:rsidP="00186A91">
            <w:pPr>
              <w:pStyle w:val="ListParagraph"/>
              <w:keepNext/>
              <w:numPr>
                <w:ilvl w:val="0"/>
                <w:numId w:val="5"/>
              </w:numPr>
              <w:rPr>
                <w:rFonts w:ascii="Times New Roman" w:hAnsi="Times New Roman" w:cs="Times New Roman"/>
                <w:b/>
                <w:bCs/>
              </w:rPr>
            </w:pPr>
            <w:r>
              <w:rPr>
                <w:rFonts w:ascii="Times New Roman" w:hAnsi="Times New Roman" w:cs="Times New Roman"/>
                <w:sz w:val="20"/>
                <w:szCs w:val="20"/>
              </w:rPr>
              <w:t>With the analysis of collected citizen feedback and outreach analysis</w:t>
            </w:r>
          </w:p>
        </w:tc>
        <w:tc>
          <w:tcPr>
            <w:tcW w:w="1396" w:type="dxa"/>
          </w:tcPr>
          <w:p w14:paraId="5B30788D" w14:textId="7F92E6DA" w:rsidR="00235DDB" w:rsidRPr="00732185" w:rsidRDefault="00235DDB" w:rsidP="00186A91">
            <w:pPr>
              <w:keepNext/>
              <w:spacing w:after="160" w:line="259" w:lineRule="auto"/>
              <w:jc w:val="both"/>
              <w:rPr>
                <w:rFonts w:ascii="Times New Roman" w:hAnsi="Times New Roman" w:cs="Times New Roman"/>
                <w:i/>
                <w:iCs/>
                <w:sz w:val="20"/>
                <w:szCs w:val="20"/>
              </w:rPr>
            </w:pPr>
            <w:r>
              <w:rPr>
                <w:rFonts w:ascii="Times New Roman" w:hAnsi="Times New Roman" w:cs="Times New Roman"/>
                <w:i/>
                <w:iCs/>
                <w:sz w:val="20"/>
                <w:szCs w:val="20"/>
              </w:rPr>
              <w:t>1</w:t>
            </w:r>
            <w:r w:rsidR="00A67E52">
              <w:rPr>
                <w:rFonts w:ascii="Times New Roman" w:hAnsi="Times New Roman" w:cs="Times New Roman"/>
                <w:i/>
                <w:iCs/>
                <w:sz w:val="20"/>
                <w:szCs w:val="20"/>
              </w:rPr>
              <w:t>5</w:t>
            </w:r>
            <w:r w:rsidRPr="00732185">
              <w:rPr>
                <w:rFonts w:ascii="Times New Roman" w:hAnsi="Times New Roman" w:cs="Times New Roman"/>
                <w:i/>
                <w:iCs/>
                <w:sz w:val="20"/>
                <w:szCs w:val="20"/>
              </w:rPr>
              <w:t xml:space="preserve"> weeks after contract signing</w:t>
            </w:r>
          </w:p>
        </w:tc>
      </w:tr>
      <w:tr w:rsidR="00235DDB" w14:paraId="1048E0A9" w14:textId="77777777" w:rsidTr="00186A91">
        <w:trPr>
          <w:jc w:val="center"/>
        </w:trPr>
        <w:tc>
          <w:tcPr>
            <w:tcW w:w="436" w:type="dxa"/>
          </w:tcPr>
          <w:p w14:paraId="6CD0E428" w14:textId="77777777" w:rsidR="00235DDB" w:rsidRPr="68007EEB" w:rsidRDefault="00235DDB" w:rsidP="00186A91">
            <w:pPr>
              <w:keepNext/>
              <w:jc w:val="both"/>
              <w:rPr>
                <w:rFonts w:ascii="Times New Roman" w:hAnsi="Times New Roman" w:cs="Times New Roman"/>
                <w:i/>
                <w:iCs/>
              </w:rPr>
            </w:pPr>
            <w:r>
              <w:rPr>
                <w:rFonts w:ascii="Times New Roman" w:hAnsi="Times New Roman" w:cs="Times New Roman"/>
                <w:i/>
                <w:iCs/>
              </w:rPr>
              <w:t>4</w:t>
            </w:r>
          </w:p>
        </w:tc>
        <w:tc>
          <w:tcPr>
            <w:tcW w:w="5876" w:type="dxa"/>
          </w:tcPr>
          <w:p w14:paraId="24CDBA29" w14:textId="77777777" w:rsidR="00235DDB" w:rsidRDefault="00235DDB" w:rsidP="00186A91">
            <w:pPr>
              <w:keepNext/>
              <w:spacing w:line="259" w:lineRule="auto"/>
              <w:rPr>
                <w:rFonts w:ascii="Times New Roman" w:hAnsi="Times New Roman" w:cs="Times New Roman"/>
                <w:b/>
                <w:bCs/>
              </w:rPr>
            </w:pPr>
            <w:r w:rsidRPr="00732185">
              <w:rPr>
                <w:rFonts w:ascii="Times New Roman" w:hAnsi="Times New Roman" w:cs="Times New Roman"/>
                <w:b/>
                <w:bCs/>
              </w:rPr>
              <w:t>Report on the Third</w:t>
            </w:r>
            <w:r>
              <w:rPr>
                <w:rFonts w:ascii="Times New Roman" w:hAnsi="Times New Roman" w:cs="Times New Roman"/>
                <w:b/>
                <w:bCs/>
              </w:rPr>
              <w:t>, Fourth and Fifth</w:t>
            </w:r>
            <w:r w:rsidRPr="00732185">
              <w:rPr>
                <w:rFonts w:ascii="Times New Roman" w:hAnsi="Times New Roman" w:cs="Times New Roman"/>
                <w:b/>
                <w:bCs/>
              </w:rPr>
              <w:t xml:space="preserve"> Event</w:t>
            </w:r>
          </w:p>
          <w:p w14:paraId="036B7277" w14:textId="77777777" w:rsidR="00235DDB" w:rsidRPr="00732185" w:rsidRDefault="00235DDB" w:rsidP="00186A91">
            <w:pPr>
              <w:pStyle w:val="ListParagraph"/>
              <w:keepNext/>
              <w:numPr>
                <w:ilvl w:val="0"/>
                <w:numId w:val="5"/>
              </w:numPr>
              <w:rPr>
                <w:rFonts w:ascii="Times New Roman" w:hAnsi="Times New Roman" w:cs="Times New Roman"/>
                <w:b/>
                <w:bCs/>
              </w:rPr>
            </w:pPr>
            <w:r w:rsidRPr="00732185">
              <w:rPr>
                <w:rFonts w:ascii="Times New Roman" w:hAnsi="Times New Roman" w:cs="Times New Roman"/>
                <w:sz w:val="20"/>
                <w:szCs w:val="20"/>
              </w:rPr>
              <w:t>With the analysis of collected citizen feedback and outreach analysis</w:t>
            </w:r>
          </w:p>
        </w:tc>
        <w:tc>
          <w:tcPr>
            <w:tcW w:w="1396" w:type="dxa"/>
          </w:tcPr>
          <w:p w14:paraId="4C130237" w14:textId="54476F98" w:rsidR="00235DDB" w:rsidRPr="00732185" w:rsidRDefault="00235DDB" w:rsidP="00186A91">
            <w:pPr>
              <w:keepNext/>
              <w:jc w:val="both"/>
              <w:rPr>
                <w:rFonts w:ascii="Times New Roman" w:hAnsi="Times New Roman" w:cs="Times New Roman"/>
                <w:i/>
                <w:iCs/>
                <w:sz w:val="20"/>
                <w:szCs w:val="20"/>
              </w:rPr>
            </w:pPr>
            <w:r>
              <w:rPr>
                <w:rFonts w:ascii="Times New Roman" w:hAnsi="Times New Roman" w:cs="Times New Roman"/>
                <w:i/>
                <w:iCs/>
                <w:sz w:val="20"/>
                <w:szCs w:val="20"/>
              </w:rPr>
              <w:t>2</w:t>
            </w:r>
            <w:r w:rsidR="00A67E52">
              <w:rPr>
                <w:rFonts w:ascii="Times New Roman" w:hAnsi="Times New Roman" w:cs="Times New Roman"/>
                <w:i/>
                <w:iCs/>
                <w:sz w:val="20"/>
                <w:szCs w:val="20"/>
              </w:rPr>
              <w:t>9</w:t>
            </w:r>
            <w:r w:rsidRPr="00732185">
              <w:rPr>
                <w:rFonts w:ascii="Times New Roman" w:hAnsi="Times New Roman" w:cs="Times New Roman"/>
                <w:i/>
                <w:iCs/>
                <w:sz w:val="20"/>
                <w:szCs w:val="20"/>
              </w:rPr>
              <w:t xml:space="preserve"> weeks after signing the contract</w:t>
            </w:r>
          </w:p>
        </w:tc>
      </w:tr>
      <w:tr w:rsidR="00235DDB" w14:paraId="58B02BE5" w14:textId="77777777" w:rsidTr="00186A91">
        <w:trPr>
          <w:jc w:val="center"/>
        </w:trPr>
        <w:tc>
          <w:tcPr>
            <w:tcW w:w="436" w:type="dxa"/>
          </w:tcPr>
          <w:p w14:paraId="56DF5D5A" w14:textId="77777777" w:rsidR="00235DDB" w:rsidRPr="00473901" w:rsidRDefault="00235DDB" w:rsidP="00186A91">
            <w:pPr>
              <w:keepNext/>
              <w:spacing w:after="160" w:line="259" w:lineRule="auto"/>
              <w:jc w:val="both"/>
              <w:rPr>
                <w:rFonts w:ascii="Times New Roman" w:hAnsi="Times New Roman" w:cs="Times New Roman"/>
                <w:i/>
                <w:iCs/>
              </w:rPr>
            </w:pPr>
            <w:r>
              <w:rPr>
                <w:rFonts w:ascii="Times New Roman" w:hAnsi="Times New Roman" w:cs="Times New Roman"/>
                <w:i/>
                <w:iCs/>
              </w:rPr>
              <w:t>5</w:t>
            </w:r>
          </w:p>
        </w:tc>
        <w:tc>
          <w:tcPr>
            <w:tcW w:w="5876" w:type="dxa"/>
          </w:tcPr>
          <w:p w14:paraId="520D3B1B" w14:textId="77777777" w:rsidR="00235DDB" w:rsidRDefault="00235DDB" w:rsidP="00186A91">
            <w:pPr>
              <w:keepNext/>
              <w:spacing w:line="259" w:lineRule="auto"/>
              <w:rPr>
                <w:rFonts w:ascii="Times New Roman" w:hAnsi="Times New Roman" w:cs="Times New Roman"/>
                <w:b/>
                <w:bCs/>
                <w:lang w:val="en-GB"/>
              </w:rPr>
            </w:pPr>
            <w:r w:rsidRPr="00732185">
              <w:rPr>
                <w:rFonts w:ascii="Times New Roman" w:hAnsi="Times New Roman" w:cs="Times New Roman"/>
                <w:b/>
                <w:bCs/>
                <w:lang w:val="en-GB"/>
              </w:rPr>
              <w:t>Final Report</w:t>
            </w:r>
          </w:p>
          <w:p w14:paraId="60A16CD9" w14:textId="77777777" w:rsidR="00235DDB" w:rsidRPr="0048692F" w:rsidRDefault="00235DDB" w:rsidP="00186A91">
            <w:pPr>
              <w:pStyle w:val="ListParagraph"/>
              <w:keepNext/>
              <w:numPr>
                <w:ilvl w:val="0"/>
                <w:numId w:val="5"/>
              </w:numPr>
              <w:rPr>
                <w:b/>
                <w:bCs/>
              </w:rPr>
            </w:pPr>
            <w:r w:rsidRPr="0048692F">
              <w:rPr>
                <w:rFonts w:ascii="Times New Roman" w:hAnsi="Times New Roman" w:cs="Times New Roman"/>
                <w:sz w:val="20"/>
                <w:szCs w:val="20"/>
              </w:rPr>
              <w:t xml:space="preserve">With the </w:t>
            </w:r>
            <w:r>
              <w:rPr>
                <w:rFonts w:ascii="Times New Roman" w:hAnsi="Times New Roman" w:cs="Times New Roman"/>
                <w:sz w:val="20"/>
                <w:szCs w:val="20"/>
              </w:rPr>
              <w:t>roadmap for further rollout and development of the activity</w:t>
            </w:r>
          </w:p>
        </w:tc>
        <w:tc>
          <w:tcPr>
            <w:tcW w:w="1396" w:type="dxa"/>
          </w:tcPr>
          <w:p w14:paraId="2BD9AC35" w14:textId="54B78BD4" w:rsidR="00235DDB" w:rsidRPr="00732185" w:rsidRDefault="00A67E52" w:rsidP="00186A91">
            <w:pPr>
              <w:keepNext/>
              <w:spacing w:after="160" w:line="259" w:lineRule="auto"/>
              <w:jc w:val="both"/>
              <w:rPr>
                <w:rFonts w:ascii="Times New Roman" w:hAnsi="Times New Roman" w:cs="Times New Roman"/>
                <w:i/>
                <w:iCs/>
                <w:sz w:val="20"/>
                <w:szCs w:val="20"/>
              </w:rPr>
            </w:pPr>
            <w:r>
              <w:rPr>
                <w:rFonts w:ascii="Times New Roman" w:hAnsi="Times New Roman" w:cs="Times New Roman"/>
                <w:i/>
                <w:iCs/>
                <w:sz w:val="20"/>
                <w:szCs w:val="20"/>
              </w:rPr>
              <w:t>31</w:t>
            </w:r>
            <w:r w:rsidR="00235DDB" w:rsidRPr="00732185">
              <w:rPr>
                <w:rFonts w:ascii="Times New Roman" w:hAnsi="Times New Roman" w:cs="Times New Roman"/>
                <w:i/>
                <w:iCs/>
                <w:sz w:val="20"/>
                <w:szCs w:val="20"/>
              </w:rPr>
              <w:t xml:space="preserve"> weeks after signing the contract</w:t>
            </w:r>
          </w:p>
        </w:tc>
      </w:tr>
    </w:tbl>
    <w:p w14:paraId="7990C455" w14:textId="77777777" w:rsidR="00235DDB" w:rsidRPr="00062BCA" w:rsidRDefault="00235DDB" w:rsidP="00235DDB">
      <w:pPr>
        <w:pStyle w:val="Heading1"/>
      </w:pPr>
      <w:r w:rsidRPr="00062BCA">
        <w:t>Timeframe and duration</w:t>
      </w:r>
    </w:p>
    <w:p w14:paraId="41C8F068" w14:textId="77777777" w:rsidR="00235DDB" w:rsidRPr="00062BCA" w:rsidRDefault="00235DDB" w:rsidP="00235DDB">
      <w:pPr>
        <w:jc w:val="both"/>
        <w:rPr>
          <w:rFonts w:ascii="Times New Roman" w:hAnsi="Times New Roman" w:cs="Times New Roman"/>
        </w:rPr>
      </w:pPr>
      <w:bookmarkStart w:id="2" w:name="_Hlk203986649"/>
      <w:r w:rsidRPr="3CC51A9E">
        <w:rPr>
          <w:rFonts w:ascii="Times New Roman" w:hAnsi="Times New Roman" w:cs="Times New Roman"/>
        </w:rPr>
        <w:t>The Consultant shall provide services under lump sum Contract paid upon acceptance of deliverables. The Consultant shall perform the Services</w:t>
      </w:r>
      <w:bookmarkEnd w:id="2"/>
      <w:r w:rsidRPr="3CC51A9E">
        <w:rPr>
          <w:rFonts w:ascii="Times New Roman" w:hAnsi="Times New Roman" w:cs="Times New Roman"/>
        </w:rPr>
        <w:t xml:space="preserve"> until the Closing Date of the Project is May 31, 2026.</w:t>
      </w:r>
    </w:p>
    <w:p w14:paraId="54BBA59D" w14:textId="77777777" w:rsidR="00235DDB" w:rsidRPr="00062BCA" w:rsidRDefault="00235DDB" w:rsidP="00235DDB">
      <w:pPr>
        <w:pStyle w:val="Heading1"/>
      </w:pPr>
      <w:r>
        <w:t xml:space="preserve">Consultant Qualifications </w:t>
      </w:r>
    </w:p>
    <w:p w14:paraId="3DCD5E17" w14:textId="77777777" w:rsidR="00235DDB" w:rsidRDefault="00235DDB" w:rsidP="00235DDB">
      <w:pPr>
        <w:pStyle w:val="Bulit"/>
      </w:pPr>
      <w:r w:rsidRPr="00941A35" w:rsidDel="00F54955">
        <w:t xml:space="preserve">The Consulting firm must demonstrate substantial experience in supporting digital transformation initiatives. </w:t>
      </w:r>
    </w:p>
    <w:p w14:paraId="0A9F5AF8" w14:textId="77777777" w:rsidR="00235DDB" w:rsidRPr="006E56B4" w:rsidRDefault="00235DDB" w:rsidP="00235DDB">
      <w:pPr>
        <w:pStyle w:val="Bulit"/>
      </w:pPr>
      <w:r w:rsidRPr="00575F10">
        <w:t>Proven experience in successfully implementing digital transformation projects in the public sector, particularly those enhancing citizen-centric services, will be considered a strong advantage.</w:t>
      </w:r>
    </w:p>
    <w:p w14:paraId="1E71A1EE" w14:textId="77777777" w:rsidR="00235DDB" w:rsidRDefault="00235DDB" w:rsidP="00235DDB">
      <w:pPr>
        <w:pStyle w:val="Bulit"/>
      </w:pPr>
      <w:r w:rsidRPr="00703BF0">
        <w:t xml:space="preserve">The consulting firm must have experience working directly with local governments (municipalities and cities), including supporting institutional capacity building, improving digital services, and integrating local administrations into national eGovernment platforms. </w:t>
      </w:r>
    </w:p>
    <w:p w14:paraId="085DE608" w14:textId="77777777" w:rsidR="00235DDB" w:rsidRDefault="00235DDB" w:rsidP="00235DDB">
      <w:pPr>
        <w:pStyle w:val="Bulit"/>
      </w:pPr>
      <w:r w:rsidRPr="00703BF0">
        <w:t>Experience in mentoring, training, implementing digital tools, and maintaining a network of local partners in cooperation with public administration will be considered a strong advantage.</w:t>
      </w:r>
    </w:p>
    <w:p w14:paraId="154E67B9" w14:textId="77777777" w:rsidR="00235DDB" w:rsidRPr="00941A35" w:rsidDel="00F54955" w:rsidRDefault="00235DDB" w:rsidP="00235DDB">
      <w:pPr>
        <w:pStyle w:val="Bulit"/>
      </w:pPr>
      <w:r w:rsidRPr="000A0785">
        <w:t>The consulting firm must have experience engaging a wide range of local stakeholders — including local governments, civil society, academia, healthcare and educational institutions</w:t>
      </w:r>
      <w:r>
        <w:t xml:space="preserve"> </w:t>
      </w:r>
      <w:r w:rsidRPr="000A0785">
        <w:t>— to support digital inclusion and the sustainable development of local digital capacities.</w:t>
      </w:r>
    </w:p>
    <w:p w14:paraId="7BEDDB20" w14:textId="77777777" w:rsidR="00235DDB" w:rsidRPr="00B65F69" w:rsidRDefault="00235DDB" w:rsidP="00235DDB">
      <w:pPr>
        <w:pStyle w:val="Bulit"/>
      </w:pPr>
      <w:r w:rsidRPr="00392B9B">
        <w:lastRenderedPageBreak/>
        <w:t xml:space="preserve">The Consulting firm must demonstrate the ability to conduct detailed user experience research </w:t>
      </w:r>
      <w:r w:rsidRPr="00B65F69">
        <w:t>and assess local digital needs in order to identify gaps in existing services and develop targeted recommendations for improving digital inclusion and the quality of e-services.</w:t>
      </w:r>
    </w:p>
    <w:p w14:paraId="6EFC604B" w14:textId="77777777" w:rsidR="00235DDB" w:rsidRPr="00473901" w:rsidRDefault="00235DDB" w:rsidP="00235DDB">
      <w:pPr>
        <w:pStyle w:val="Bulit"/>
      </w:pPr>
      <w:r w:rsidRPr="00B65F69">
        <w:t xml:space="preserve">The </w:t>
      </w:r>
      <w:r>
        <w:t>C</w:t>
      </w:r>
      <w:r w:rsidRPr="00B65F69">
        <w:t>onsulting firm must prove expertise in developing methodological frameworks, strategic and operational plans, as well as preparing timely and high-quality reports with analyses and recommendations for key national and local decision makers.</w:t>
      </w:r>
    </w:p>
    <w:p w14:paraId="63071F3F" w14:textId="77777777" w:rsidR="00235DDB" w:rsidRPr="00B65F69" w:rsidRDefault="00235DDB" w:rsidP="00235DDB">
      <w:pPr>
        <w:pStyle w:val="Bulit"/>
      </w:pPr>
      <w:r w:rsidRPr="00A96EE1">
        <w:t>Experience with projects funded by or carried out in partnership with the World Bank, along with familiarity with digital transformation initiatives, will be highly advantageous</w:t>
      </w:r>
      <w:r>
        <w:t>.</w:t>
      </w:r>
    </w:p>
    <w:p w14:paraId="2346936C" w14:textId="0ADB12E5" w:rsidR="00235DDB" w:rsidRDefault="00235DDB" w:rsidP="00235DDB">
      <w:pPr>
        <w:pStyle w:val="Bulit"/>
      </w:pPr>
      <w:r w:rsidRPr="00905943">
        <w:t>Experience in partnerships with relevant government institutions (such as the Office for IT and eGovernment</w:t>
      </w:r>
      <w:r>
        <w:t xml:space="preserve">, </w:t>
      </w:r>
      <w:r w:rsidR="00F45DB9">
        <w:t>Ministry of Information and Telecommunication,</w:t>
      </w:r>
      <w:r>
        <w:t xml:space="preserve"> and others) </w:t>
      </w:r>
      <w:r w:rsidRPr="00905943">
        <w:t>as well as with international donors and organizations, will be an additional plus.</w:t>
      </w:r>
    </w:p>
    <w:p w14:paraId="65926069" w14:textId="77777777" w:rsidR="00235DDB" w:rsidRPr="00DC3CF5" w:rsidDel="00F54955" w:rsidRDefault="00235DDB" w:rsidP="00235DDB">
      <w:pPr>
        <w:pStyle w:val="Bulit"/>
      </w:pPr>
      <w:r w:rsidRPr="00035661">
        <w:t xml:space="preserve">The </w:t>
      </w:r>
      <w:r>
        <w:t>C</w:t>
      </w:r>
      <w:r w:rsidRPr="00035661">
        <w:t>onsulting firm must demonstrate a sound knowledge of the Serbian legal and institutional framework relevant to digital governance and administrative procedures.</w:t>
      </w:r>
    </w:p>
    <w:p w14:paraId="3B89959B" w14:textId="77777777" w:rsidR="00235DDB" w:rsidRDefault="00235DDB" w:rsidP="00235DDB">
      <w:pPr>
        <w:pStyle w:val="Heading1"/>
      </w:pPr>
      <w:r>
        <w:t xml:space="preserve">Team and Technical requirements </w:t>
      </w:r>
    </w:p>
    <w:p w14:paraId="283D1FA5" w14:textId="77777777" w:rsidR="00235DDB" w:rsidRPr="00D309B3" w:rsidRDefault="00235DDB" w:rsidP="00235DDB">
      <w:pPr>
        <w:pStyle w:val="Heading2"/>
        <w:spacing w:before="120" w:after="120"/>
        <w:rPr>
          <w:rFonts w:eastAsia="Arial Unicode MS"/>
          <w:b w:val="0"/>
          <w:bdr w:val="nil"/>
        </w:rPr>
      </w:pPr>
      <w:r w:rsidRPr="00514528">
        <w:rPr>
          <w:rFonts w:eastAsia="Arial Unicode MS"/>
          <w:bdr w:val="nil"/>
        </w:rPr>
        <w:t xml:space="preserve">Key Expert 1: Project Manager / Team Leader </w:t>
      </w:r>
      <w:r w:rsidRPr="00514528">
        <w:rPr>
          <w:rFonts w:eastAsia="Arial Unicode MS"/>
          <w:b w:val="0"/>
          <w:bdr w:val="nil"/>
        </w:rPr>
        <w:t xml:space="preserve">with experience in managing public or donor-funded projects, </w:t>
      </w:r>
      <w:r w:rsidRPr="00534709">
        <w:rPr>
          <w:rFonts w:eastAsia="Arial Unicode MS"/>
          <w:b w:val="0"/>
          <w:bdr w:val="nil"/>
        </w:rPr>
        <w:t>supporting team coordination, collaborating with various stakeholders, and contributing to project planning, implementation, monitoring, and reporting.</w:t>
      </w:r>
    </w:p>
    <w:p w14:paraId="4BF3C998" w14:textId="77777777" w:rsidR="00235DDB" w:rsidRPr="00016D1C" w:rsidRDefault="00235DDB" w:rsidP="00235DDB">
      <w:pPr>
        <w:pStyle w:val="Heading2"/>
        <w:spacing w:before="120" w:after="120"/>
        <w:rPr>
          <w:b w:val="0"/>
          <w:bCs/>
        </w:rPr>
      </w:pPr>
      <w:r>
        <w:t xml:space="preserve">Key Expert 2: </w:t>
      </w:r>
      <w:r w:rsidRPr="007D7406">
        <w:t>E-GOV Expert</w:t>
      </w:r>
      <w:r>
        <w:t xml:space="preserve"> </w:t>
      </w:r>
      <w:r w:rsidRPr="00FA061E">
        <w:rPr>
          <w:b w:val="0"/>
          <w:bCs/>
        </w:rPr>
        <w:t>with experience supporting digital transformation efforts in public administration, contributing to the development of eGovernment services, and coordinating with stakeholders to improve processes at local or national levels</w:t>
      </w:r>
      <w:r w:rsidRPr="00514528">
        <w:rPr>
          <w:b w:val="0"/>
          <w:bCs/>
        </w:rPr>
        <w:t>.</w:t>
      </w:r>
    </w:p>
    <w:p w14:paraId="62899F16" w14:textId="77777777" w:rsidR="00235DDB" w:rsidRPr="000B01F6" w:rsidRDefault="00235DDB" w:rsidP="00235DDB">
      <w:pPr>
        <w:pStyle w:val="Heading2"/>
        <w:rPr>
          <w:rFonts w:cs="Times New Roman"/>
          <w:b w:val="0"/>
          <w:bCs/>
        </w:rPr>
      </w:pPr>
      <w:r>
        <w:t xml:space="preserve">Key Expert 3: </w:t>
      </w:r>
      <w:r w:rsidRPr="00A61FC8">
        <w:t>Stakeholder and Community Engagement Manager</w:t>
      </w:r>
      <w:r>
        <w:t xml:space="preserve"> </w:t>
      </w:r>
      <w:r w:rsidRPr="00FF3CAE">
        <w:rPr>
          <w:rFonts w:cs="Times New Roman"/>
          <w:b w:val="0"/>
          <w:bCs/>
        </w:rPr>
        <w:t>with experience supporting stakeholder engagement, community outreach, and coordinating communication among government bodies, civil society, the private sector, and local communities to facilitate inclusive project implementation</w:t>
      </w:r>
      <w:r w:rsidRPr="007A4007">
        <w:rPr>
          <w:rFonts w:cs="Times New Roman"/>
          <w:b w:val="0"/>
          <w:bCs/>
        </w:rPr>
        <w:t>.</w:t>
      </w:r>
    </w:p>
    <w:p w14:paraId="54A90B26" w14:textId="77777777" w:rsidR="00235DDB" w:rsidRPr="00DE77D6" w:rsidRDefault="00235DDB" w:rsidP="00235DDB">
      <w:pPr>
        <w:pStyle w:val="Heading2"/>
      </w:pPr>
      <w:r w:rsidRPr="0000494B">
        <w:t xml:space="preserve">Key Expert </w:t>
      </w:r>
      <w:r>
        <w:t>4</w:t>
      </w:r>
      <w:r w:rsidRPr="0000494B">
        <w:t>:</w:t>
      </w:r>
      <w:r>
        <w:t xml:space="preserve"> </w:t>
      </w:r>
      <w:r w:rsidRPr="00526315">
        <w:t>Digital Skills Training Specialist</w:t>
      </w:r>
      <w:r>
        <w:t xml:space="preserve"> </w:t>
      </w:r>
      <w:r>
        <w:rPr>
          <w:rFonts w:cs="Times New Roman"/>
          <w:b w:val="0"/>
          <w:bCs/>
        </w:rPr>
        <w:t>w</w:t>
      </w:r>
      <w:r w:rsidRPr="00F36BD4">
        <w:rPr>
          <w:rFonts w:cs="Times New Roman"/>
          <w:b w:val="0"/>
          <w:bCs/>
        </w:rPr>
        <w:t>ith experience in supporting the preparation and delivery of digital skills training activities, assisting in the development of training materials, and supporting the overall facilitation of training activities.</w:t>
      </w:r>
    </w:p>
    <w:p w14:paraId="741D89D1" w14:textId="77777777" w:rsidR="00235DDB" w:rsidRPr="00DC3E8C" w:rsidRDefault="00235DDB" w:rsidP="00235DDB">
      <w:pPr>
        <w:pStyle w:val="Heading2"/>
        <w:rPr>
          <w:b w:val="0"/>
        </w:rPr>
      </w:pPr>
      <w:r w:rsidRPr="0000494B">
        <w:t xml:space="preserve">Key Expert </w:t>
      </w:r>
      <w:r>
        <w:t>5/6</w:t>
      </w:r>
      <w:r w:rsidRPr="0000494B">
        <w:t>:</w:t>
      </w:r>
      <w:r>
        <w:t xml:space="preserve"> Event Manager (</w:t>
      </w:r>
      <w:r w:rsidRPr="007301B5">
        <w:t>at least two</w:t>
      </w:r>
      <w:r>
        <w:t xml:space="preserve">) </w:t>
      </w:r>
      <w:r>
        <w:rPr>
          <w:b w:val="0"/>
          <w:bCs/>
        </w:rPr>
        <w:t>with</w:t>
      </w:r>
      <w:r>
        <w:t xml:space="preserve"> </w:t>
      </w:r>
      <w:r w:rsidRPr="000F192C">
        <w:rPr>
          <w:b w:val="0"/>
          <w:bCs/>
        </w:rPr>
        <w:t xml:space="preserve">experience </w:t>
      </w:r>
      <w:r w:rsidRPr="00773DC5">
        <w:rPr>
          <w:rFonts w:cs="Times New Roman"/>
          <w:b w:val="0"/>
        </w:rPr>
        <w:t>in planning, coordinating, and implementing various events, supporting logistical arrangements, and helping engage multiple stakeholders in line with project goals and visibility requirements.</w:t>
      </w:r>
    </w:p>
    <w:p w14:paraId="2C3D0F0A" w14:textId="77777777" w:rsidR="00235DDB" w:rsidRPr="00F55DCE" w:rsidRDefault="00235DDB" w:rsidP="00235DDB">
      <w:pPr>
        <w:pStyle w:val="Heading2"/>
        <w:rPr>
          <w:rFonts w:cs="Times New Roman"/>
          <w:b w:val="0"/>
          <w:bCs/>
        </w:rPr>
      </w:pPr>
      <w:bookmarkStart w:id="3" w:name="_Hlk203137432"/>
      <w:r>
        <w:t>Non-Key Expert 1</w:t>
      </w:r>
      <w:r w:rsidRPr="00062BCA">
        <w:rPr>
          <w:rFonts w:eastAsia="Arial Unicode MS"/>
          <w:u w:color="000000"/>
          <w:bdr w:val="nil"/>
        </w:rPr>
        <w:t xml:space="preserve">: </w:t>
      </w:r>
      <w:r>
        <w:rPr>
          <w:rFonts w:eastAsia="Arial Unicode MS"/>
          <w:u w:color="000000"/>
          <w:bdr w:val="nil"/>
        </w:rPr>
        <w:t xml:space="preserve">Project Assistant </w:t>
      </w:r>
      <w:r>
        <w:rPr>
          <w:rFonts w:cs="Times New Roman"/>
          <w:b w:val="0"/>
          <w:bCs/>
        </w:rPr>
        <w:t>w</w:t>
      </w:r>
      <w:r w:rsidRPr="00F55DCE">
        <w:rPr>
          <w:rFonts w:cs="Times New Roman"/>
          <w:b w:val="0"/>
          <w:bCs/>
        </w:rPr>
        <w:t>ith experience in supporting administrative work for project teams, maintaining documentation, tracking activities, as well as assisting in the organization of meetings or events. Good communication skills are considered an asset.</w:t>
      </w:r>
    </w:p>
    <w:bookmarkEnd w:id="3"/>
    <w:p w14:paraId="3D76ACB4" w14:textId="77777777" w:rsidR="00235DDB" w:rsidRPr="00A020DA" w:rsidRDefault="00235DDB" w:rsidP="00235DDB">
      <w:pPr>
        <w:pStyle w:val="Heading2"/>
        <w:spacing w:before="120" w:after="120"/>
      </w:pPr>
      <w:r w:rsidRPr="00772DDE">
        <w:rPr>
          <w:rFonts w:cs="Times New Roman"/>
        </w:rPr>
        <w:t>Non-Key Expert 2</w:t>
      </w:r>
      <w:r w:rsidRPr="00772DDE">
        <w:rPr>
          <w:rFonts w:eastAsia="Calibri" w:cs="Times New Roman"/>
        </w:rPr>
        <w:t>: Financial Coordinator</w:t>
      </w:r>
      <w:r>
        <w:rPr>
          <w:rFonts w:eastAsia="Calibri" w:cs="Times New Roman"/>
        </w:rPr>
        <w:t xml:space="preserve"> </w:t>
      </w:r>
      <w:r w:rsidRPr="008571F5">
        <w:rPr>
          <w:rFonts w:cs="Times New Roman"/>
          <w:b w:val="0"/>
        </w:rPr>
        <w:t>with experience in supporting financial management, budgeting, and reporting, including assistance in monitoring project finance, ensuring proper documentation, and supporting compliance and audit procedures.</w:t>
      </w:r>
    </w:p>
    <w:p w14:paraId="0CCC4677" w14:textId="77777777" w:rsidR="00235DDB" w:rsidRPr="0048692F" w:rsidRDefault="00235DDB" w:rsidP="00235DDB">
      <w:pPr>
        <w:pStyle w:val="Heading2"/>
        <w:spacing w:before="120" w:after="120"/>
      </w:pPr>
      <w:r w:rsidRPr="005C54A0">
        <w:rPr>
          <w:rFonts w:eastAsia="Calibri"/>
        </w:rPr>
        <w:t xml:space="preserve">Non-Key 3: Communication Assistant </w:t>
      </w:r>
      <w:r>
        <w:rPr>
          <w:rFonts w:eastAsia="Calibri"/>
          <w:b w:val="0"/>
          <w:bCs/>
        </w:rPr>
        <w:t>w</w:t>
      </w:r>
      <w:r w:rsidRPr="005C54A0">
        <w:rPr>
          <w:rFonts w:eastAsia="Calibri"/>
          <w:b w:val="0"/>
          <w:bCs/>
        </w:rPr>
        <w:t>ith experience in various communication-related tasks, including supporting outreach activities, assisting in content creation, and contributing to media relations and stakeholder engagement to enhance project visibility.</w:t>
      </w:r>
    </w:p>
    <w:p w14:paraId="13B80B3D" w14:textId="77777777" w:rsidR="00235DDB" w:rsidRPr="00062BCA" w:rsidRDefault="00235DDB" w:rsidP="00235DDB">
      <w:pPr>
        <w:pStyle w:val="Heading1"/>
        <w:ind w:left="714" w:hanging="357"/>
      </w:pPr>
      <w:r w:rsidRPr="00062BCA">
        <w:lastRenderedPageBreak/>
        <w:t>Evaluation</w:t>
      </w:r>
    </w:p>
    <w:p w14:paraId="1693EBFE" w14:textId="77777777" w:rsidR="00235DDB" w:rsidRDefault="00235DDB" w:rsidP="00235DDB">
      <w:r w:rsidRPr="00062BCA">
        <w:rPr>
          <w:rFonts w:ascii="Times New Roman" w:hAnsi="Times New Roman"/>
        </w:rPr>
        <w:t xml:space="preserve">The Consultant which obtains the highest score during evaluation of expressions of interest will be invited to submit technical and financial proposals. </w:t>
      </w:r>
    </w:p>
    <w:p w14:paraId="3D92A929" w14:textId="77777777" w:rsidR="0018594A" w:rsidRDefault="0018594A"/>
    <w:sectPr w:rsidR="0018594A" w:rsidSect="00235DDB">
      <w:footerReference w:type="default" r:id="rId7"/>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6CB7" w14:textId="77777777" w:rsidR="0068147F" w:rsidRDefault="0068147F">
      <w:pPr>
        <w:spacing w:after="0" w:line="240" w:lineRule="auto"/>
      </w:pPr>
      <w:r>
        <w:separator/>
      </w:r>
    </w:p>
  </w:endnote>
  <w:endnote w:type="continuationSeparator" w:id="0">
    <w:p w14:paraId="59128B51" w14:textId="77777777" w:rsidR="0068147F" w:rsidRDefault="0068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97088"/>
      <w:docPartObj>
        <w:docPartGallery w:val="Page Numbers (Bottom of Page)"/>
        <w:docPartUnique/>
      </w:docPartObj>
    </w:sdtPr>
    <w:sdtEndPr>
      <w:rPr>
        <w:rFonts w:ascii="Times New Roman" w:hAnsi="Times New Roman" w:cs="Times New Roman"/>
      </w:rPr>
    </w:sdtEndPr>
    <w:sdtContent>
      <w:p w14:paraId="43D13807" w14:textId="77777777" w:rsidR="00772864" w:rsidRPr="000B7498" w:rsidRDefault="00A736E1">
        <w:pPr>
          <w:pStyle w:val="Footer"/>
          <w:jc w:val="right"/>
          <w:rPr>
            <w:rFonts w:ascii="Times New Roman" w:hAnsi="Times New Roman" w:cs="Times New Roman"/>
          </w:rPr>
        </w:pPr>
        <w:r w:rsidRPr="000B7498">
          <w:rPr>
            <w:rFonts w:ascii="Times New Roman" w:hAnsi="Times New Roman" w:cs="Times New Roman"/>
          </w:rPr>
          <w:fldChar w:fldCharType="begin"/>
        </w:r>
        <w:r w:rsidRPr="000B7498">
          <w:rPr>
            <w:rFonts w:ascii="Times New Roman" w:hAnsi="Times New Roman" w:cs="Times New Roman"/>
          </w:rPr>
          <w:instrText>PAGE   \* MERGEFORMAT</w:instrText>
        </w:r>
        <w:r w:rsidRPr="000B7498">
          <w:rPr>
            <w:rFonts w:ascii="Times New Roman" w:hAnsi="Times New Roman" w:cs="Times New Roman"/>
          </w:rPr>
          <w:fldChar w:fldCharType="separate"/>
        </w:r>
        <w:r w:rsidRPr="006D2147">
          <w:rPr>
            <w:rFonts w:ascii="Times New Roman" w:hAnsi="Times New Roman" w:cs="Times New Roman"/>
            <w:noProof/>
            <w:lang w:val="sr-Latn-RS"/>
          </w:rPr>
          <w:t>1</w:t>
        </w:r>
        <w:r w:rsidRPr="000B7498">
          <w:rPr>
            <w:rFonts w:ascii="Times New Roman" w:hAnsi="Times New Roman" w:cs="Times New Roman"/>
          </w:rPr>
          <w:fldChar w:fldCharType="end"/>
        </w:r>
      </w:p>
    </w:sdtContent>
  </w:sdt>
  <w:p w14:paraId="4C5F4CB1" w14:textId="77777777" w:rsidR="00772864" w:rsidRDefault="0068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DB88" w14:textId="77777777" w:rsidR="0068147F" w:rsidRDefault="0068147F">
      <w:pPr>
        <w:spacing w:after="0" w:line="240" w:lineRule="auto"/>
      </w:pPr>
      <w:r>
        <w:separator/>
      </w:r>
    </w:p>
  </w:footnote>
  <w:footnote w:type="continuationSeparator" w:id="0">
    <w:p w14:paraId="74A06249" w14:textId="77777777" w:rsidR="0068147F" w:rsidRDefault="00681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647A"/>
    <w:multiLevelType w:val="hybridMultilevel"/>
    <w:tmpl w:val="5FC6AD6E"/>
    <w:lvl w:ilvl="0" w:tplc="C276B0E6">
      <w:start w:val="1"/>
      <w:numFmt w:val="lowerLetter"/>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C2817"/>
    <w:multiLevelType w:val="hybridMultilevel"/>
    <w:tmpl w:val="4CF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13AC5"/>
    <w:multiLevelType w:val="hybridMultilevel"/>
    <w:tmpl w:val="CC546D54"/>
    <w:lvl w:ilvl="0" w:tplc="AF76C252">
      <w:start w:val="1"/>
      <w:numFmt w:val="decimal"/>
      <w:pStyle w:val="Heading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E44F0"/>
    <w:multiLevelType w:val="hybridMultilevel"/>
    <w:tmpl w:val="B134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40BF0"/>
    <w:multiLevelType w:val="hybridMultilevel"/>
    <w:tmpl w:val="63089176"/>
    <w:lvl w:ilvl="0" w:tplc="D4AA2BB2">
      <w:start w:val="1"/>
      <w:numFmt w:val="bullet"/>
      <w:pStyle w:val="Bu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CE3CB7"/>
    <w:multiLevelType w:val="multilevel"/>
    <w:tmpl w:val="EFBE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DB"/>
    <w:rsid w:val="0018594A"/>
    <w:rsid w:val="00235DDB"/>
    <w:rsid w:val="002D6643"/>
    <w:rsid w:val="002E304F"/>
    <w:rsid w:val="00323349"/>
    <w:rsid w:val="004A4A1A"/>
    <w:rsid w:val="0056260C"/>
    <w:rsid w:val="0065780C"/>
    <w:rsid w:val="0068147F"/>
    <w:rsid w:val="006E0585"/>
    <w:rsid w:val="00872E1A"/>
    <w:rsid w:val="00905170"/>
    <w:rsid w:val="00A67E52"/>
    <w:rsid w:val="00A736E1"/>
    <w:rsid w:val="00B3538B"/>
    <w:rsid w:val="00D234B1"/>
    <w:rsid w:val="00D452E2"/>
    <w:rsid w:val="00E341D1"/>
    <w:rsid w:val="00E90729"/>
    <w:rsid w:val="00F36EFE"/>
    <w:rsid w:val="00F4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6E2F"/>
  <w15:chartTrackingRefBased/>
  <w15:docId w15:val="{3C866933-5276-41D4-B295-B4CE639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DB"/>
    <w:rPr>
      <w:kern w:val="2"/>
      <w14:ligatures w14:val="standardContextual"/>
    </w:rPr>
  </w:style>
  <w:style w:type="paragraph" w:styleId="Heading1">
    <w:name w:val="heading 1"/>
    <w:basedOn w:val="Normal"/>
    <w:next w:val="Normal"/>
    <w:link w:val="Heading1Char"/>
    <w:autoRedefine/>
    <w:uiPriority w:val="9"/>
    <w:qFormat/>
    <w:rsid w:val="00235DDB"/>
    <w:pPr>
      <w:keepNext/>
      <w:keepLines/>
      <w:numPr>
        <w:numId w:val="1"/>
      </w:numPr>
      <w:spacing w:before="360" w:after="80"/>
      <w:jc w:val="both"/>
      <w:outlineLvl w:val="0"/>
    </w:pPr>
    <w:rPr>
      <w:rFonts w:ascii="Times New Roman" w:eastAsia="Times New Roman" w:hAnsi="Times New Roman" w:cstheme="majorBidi"/>
      <w:b/>
      <w:bCs/>
      <w:szCs w:val="40"/>
    </w:rPr>
  </w:style>
  <w:style w:type="paragraph" w:styleId="Heading2">
    <w:name w:val="heading 2"/>
    <w:basedOn w:val="Normal"/>
    <w:next w:val="Normal"/>
    <w:link w:val="Heading2Char"/>
    <w:autoRedefine/>
    <w:uiPriority w:val="9"/>
    <w:unhideWhenUsed/>
    <w:qFormat/>
    <w:rsid w:val="00235DDB"/>
    <w:pPr>
      <w:keepLines/>
      <w:numPr>
        <w:numId w:val="2"/>
      </w:numPr>
      <w:spacing w:before="240" w:after="80"/>
      <w:jc w:val="both"/>
      <w:outlineLvl w:val="1"/>
    </w:pPr>
    <w:rPr>
      <w:rFonts w:ascii="Times New Roman" w:eastAsiaTheme="majorEastAsia" w:hAnsi="Times New Roma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DB"/>
    <w:rPr>
      <w:rFonts w:ascii="Times New Roman" w:eastAsia="Times New Roman" w:hAnsi="Times New Roman" w:cstheme="majorBidi"/>
      <w:b/>
      <w:bCs/>
      <w:kern w:val="2"/>
      <w:szCs w:val="40"/>
      <w14:ligatures w14:val="standardContextual"/>
    </w:rPr>
  </w:style>
  <w:style w:type="character" w:customStyle="1" w:styleId="Heading2Char">
    <w:name w:val="Heading 2 Char"/>
    <w:basedOn w:val="DefaultParagraphFont"/>
    <w:link w:val="Heading2"/>
    <w:uiPriority w:val="9"/>
    <w:rsid w:val="00235DDB"/>
    <w:rPr>
      <w:rFonts w:ascii="Times New Roman" w:eastAsiaTheme="majorEastAsia" w:hAnsi="Times New Roman" w:cstheme="majorBidi"/>
      <w:b/>
      <w:kern w:val="2"/>
      <w:szCs w:val="32"/>
      <w14:ligatures w14:val="standardContextual"/>
    </w:rPr>
  </w:style>
  <w:style w:type="paragraph" w:styleId="ListParagraph">
    <w:name w:val="List Paragraph"/>
    <w:basedOn w:val="Normal"/>
    <w:uiPriority w:val="34"/>
    <w:qFormat/>
    <w:rsid w:val="00235DDB"/>
    <w:pPr>
      <w:ind w:left="720"/>
      <w:contextualSpacing/>
    </w:pPr>
  </w:style>
  <w:style w:type="paragraph" w:styleId="Footer">
    <w:name w:val="footer"/>
    <w:basedOn w:val="Normal"/>
    <w:link w:val="FooterChar"/>
    <w:uiPriority w:val="99"/>
    <w:unhideWhenUsed/>
    <w:rsid w:val="00235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DDB"/>
    <w:rPr>
      <w:kern w:val="2"/>
      <w14:ligatures w14:val="standardContextual"/>
    </w:rPr>
  </w:style>
  <w:style w:type="table" w:styleId="TableGrid">
    <w:name w:val="Table Grid"/>
    <w:basedOn w:val="TableNormal"/>
    <w:uiPriority w:val="39"/>
    <w:rsid w:val="00235DD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it">
    <w:name w:val="Bulit"/>
    <w:basedOn w:val="Heading1"/>
    <w:autoRedefine/>
    <w:qFormat/>
    <w:rsid w:val="00235DDB"/>
    <w:pPr>
      <w:keepNext w:val="0"/>
      <w:numPr>
        <w:numId w:val="3"/>
      </w:numPr>
      <w:spacing w:before="120" w:after="120"/>
    </w:pPr>
    <w:rPr>
      <w:rFonts w:eastAsia="Calibri" w:cs="Calibri"/>
      <w:b w:val="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Antonijevic</dc:creator>
  <cp:keywords/>
  <dc:description/>
  <cp:lastModifiedBy>Nenad Antonijević</cp:lastModifiedBy>
  <cp:revision>4</cp:revision>
  <dcterms:created xsi:type="dcterms:W3CDTF">2025-10-06T13:54:00Z</dcterms:created>
  <dcterms:modified xsi:type="dcterms:W3CDTF">2025-10-06T13:54:00Z</dcterms:modified>
</cp:coreProperties>
</file>